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47"/>
        <w:gridCol w:w="7131"/>
      </w:tblGrid>
      <w:tr w:rsidR="005C1E12" w:rsidRPr="00B73FCE" w:rsidTr="0078421D">
        <w:trPr>
          <w:trHeight w:val="1266"/>
        </w:trPr>
        <w:tc>
          <w:tcPr>
            <w:tcW w:w="2547" w:type="dxa"/>
          </w:tcPr>
          <w:p w:rsidR="005C1E12" w:rsidRPr="00B73FCE" w:rsidRDefault="005C1E12" w:rsidP="00417668">
            <w:pPr>
              <w:spacing w:line="276" w:lineRule="auto"/>
              <w:rPr>
                <w:rFonts w:ascii="Sylfaen" w:hAnsi="Sylfaen"/>
                <w:sz w:val="24"/>
                <w:szCs w:val="24"/>
                <w:lang w:val="hy-AM"/>
              </w:rPr>
            </w:pPr>
            <w:r w:rsidRPr="00B73FCE">
              <w:rPr>
                <w:rFonts w:ascii="Sylfaen" w:hAnsi="Sylfaen"/>
                <w:sz w:val="24"/>
                <w:szCs w:val="24"/>
                <w:lang w:val="hy-AM"/>
              </w:rPr>
              <w:t>Դասընթացի անվանումը (կրթամոդուլի դասիչը)</w:t>
            </w:r>
          </w:p>
        </w:tc>
        <w:tc>
          <w:tcPr>
            <w:tcW w:w="7131" w:type="dxa"/>
          </w:tcPr>
          <w:p w:rsidR="00193FB1" w:rsidRPr="00B73FCE" w:rsidRDefault="000E425E" w:rsidP="00193FB1">
            <w:pPr>
              <w:spacing w:line="276" w:lineRule="auto"/>
              <w:jc w:val="center"/>
              <w:rPr>
                <w:rFonts w:ascii="Sylfaen" w:hAnsi="Sylfaen" w:cs="Calibri"/>
                <w:b/>
                <w:sz w:val="28"/>
                <w:szCs w:val="28"/>
                <w:lang w:val="hy-AM"/>
              </w:rPr>
            </w:pPr>
            <w:r w:rsidRPr="00B73FCE">
              <w:rPr>
                <w:rFonts w:ascii="Sylfaen" w:hAnsi="Sylfaen" w:cs="Calibri"/>
                <w:b/>
                <w:sz w:val="28"/>
                <w:szCs w:val="28"/>
                <w:lang w:val="hy-AM"/>
              </w:rPr>
              <w:t>Մ</w:t>
            </w:r>
            <w:r w:rsidR="00417668" w:rsidRPr="00B73FCE">
              <w:rPr>
                <w:rFonts w:ascii="Sylfaen" w:hAnsi="Sylfaen" w:cs="Calibri"/>
                <w:b/>
                <w:sz w:val="28"/>
                <w:szCs w:val="28"/>
                <w:lang w:val="hy-AM"/>
              </w:rPr>
              <w:t xml:space="preserve">ԻԿՐՈԷԿՈՆՈՄԻԿԱՅԻ ԽՈՐԱՑՎԱԾ ԴԱՍԸՆԹԱՑ </w:t>
            </w:r>
          </w:p>
          <w:p w:rsidR="00C94C35" w:rsidRPr="00B73FCE" w:rsidRDefault="00193FB1" w:rsidP="00193FB1">
            <w:pPr>
              <w:spacing w:line="276" w:lineRule="auto"/>
              <w:jc w:val="center"/>
              <w:rPr>
                <w:rFonts w:ascii="Sylfaen" w:hAnsi="Sylfaen" w:cs="Times New Roman"/>
                <w:b/>
                <w:sz w:val="28"/>
                <w:szCs w:val="28"/>
                <w:u w:val="single"/>
                <w:lang w:val="hy-AM"/>
              </w:rPr>
            </w:pPr>
            <w:r w:rsidRPr="00B73FCE">
              <w:rPr>
                <w:rFonts w:ascii="Sylfaen" w:hAnsi="Sylfaen"/>
                <w:b/>
                <w:sz w:val="28"/>
                <w:szCs w:val="28"/>
                <w:lang w:val="hy-AM"/>
              </w:rPr>
              <w:t>(</w:t>
            </w:r>
            <w:r w:rsidR="0078421D">
              <w:rPr>
                <w:rFonts w:ascii="Sylfaen" w:hAnsi="Sylfaen"/>
                <w:b/>
                <w:sz w:val="28"/>
                <w:szCs w:val="28"/>
                <w:lang w:val="hy-AM"/>
              </w:rPr>
              <w:t>7.</w:t>
            </w:r>
            <w:r w:rsidR="00C94C35" w:rsidRPr="00B73FCE">
              <w:rPr>
                <w:rFonts w:ascii="Sylfaen" w:hAnsi="Sylfaen" w:cs="Times New Roman"/>
                <w:b/>
                <w:sz w:val="28"/>
                <w:szCs w:val="28"/>
                <w:lang w:val="hy-AM"/>
              </w:rPr>
              <w:t>20ԷԻԿ0</w:t>
            </w:r>
            <w:r w:rsidR="000119CA" w:rsidRPr="00B73FCE">
              <w:rPr>
                <w:rFonts w:ascii="Sylfaen" w:hAnsi="Sylfaen" w:cs="Times New Roman"/>
                <w:b/>
                <w:sz w:val="28"/>
                <w:szCs w:val="28"/>
                <w:lang w:val="hy-AM"/>
              </w:rPr>
              <w:t>09</w:t>
            </w:r>
            <w:r w:rsidRPr="00B73FCE">
              <w:rPr>
                <w:rFonts w:ascii="Sylfaen" w:hAnsi="Sylfaen" w:cs="Times New Roman"/>
                <w:b/>
                <w:sz w:val="28"/>
                <w:szCs w:val="28"/>
                <w:lang w:val="hy-AM"/>
              </w:rPr>
              <w:t>)</w:t>
            </w:r>
          </w:p>
        </w:tc>
      </w:tr>
      <w:tr w:rsidR="005C1E12" w:rsidRPr="00B73FCE" w:rsidTr="005C1E12">
        <w:tc>
          <w:tcPr>
            <w:tcW w:w="2547" w:type="dxa"/>
          </w:tcPr>
          <w:p w:rsidR="005C1E12" w:rsidRPr="00B73FCE" w:rsidRDefault="005C1E12" w:rsidP="00417668">
            <w:pPr>
              <w:spacing w:line="276" w:lineRule="auto"/>
              <w:rPr>
                <w:rFonts w:ascii="Sylfaen" w:hAnsi="Sylfaen"/>
                <w:sz w:val="24"/>
                <w:szCs w:val="24"/>
                <w:lang w:val="hy-AM"/>
              </w:rPr>
            </w:pPr>
            <w:r w:rsidRPr="00B73FCE">
              <w:rPr>
                <w:rFonts w:ascii="Sylfaen" w:hAnsi="Sylfaen"/>
                <w:sz w:val="24"/>
                <w:szCs w:val="24"/>
                <w:lang w:val="hy-AM"/>
              </w:rPr>
              <w:t>ECTS կրեդիտ</w:t>
            </w:r>
          </w:p>
        </w:tc>
        <w:tc>
          <w:tcPr>
            <w:tcW w:w="7131" w:type="dxa"/>
          </w:tcPr>
          <w:p w:rsidR="005C1E12" w:rsidRPr="00B73FCE" w:rsidRDefault="00C94C35" w:rsidP="00417668">
            <w:pPr>
              <w:spacing w:line="276" w:lineRule="auto"/>
              <w:rPr>
                <w:rFonts w:ascii="Sylfaen" w:hAnsi="Sylfaen"/>
                <w:sz w:val="24"/>
                <w:szCs w:val="24"/>
                <w:lang w:val="hy-AM"/>
              </w:rPr>
            </w:pPr>
            <w:r w:rsidRPr="00B73FCE">
              <w:rPr>
                <w:rFonts w:ascii="Sylfaen" w:hAnsi="Sylfaen"/>
                <w:sz w:val="24"/>
                <w:szCs w:val="24"/>
                <w:lang w:val="hy-AM"/>
              </w:rPr>
              <w:t>4</w:t>
            </w:r>
            <w:r w:rsidR="00417668" w:rsidRPr="00B73FCE">
              <w:rPr>
                <w:rFonts w:ascii="Sylfaen" w:hAnsi="Sylfaen"/>
                <w:sz w:val="24"/>
                <w:szCs w:val="24"/>
                <w:lang w:val="hy-AM"/>
              </w:rPr>
              <w:t xml:space="preserve"> կրեդիտ</w:t>
            </w:r>
          </w:p>
        </w:tc>
      </w:tr>
      <w:tr w:rsidR="005C1E12" w:rsidRPr="00F90F76" w:rsidTr="0078421D">
        <w:tc>
          <w:tcPr>
            <w:tcW w:w="2547" w:type="dxa"/>
          </w:tcPr>
          <w:p w:rsidR="005C1E12" w:rsidRPr="00B73FCE" w:rsidRDefault="005C1E12" w:rsidP="00417668">
            <w:pPr>
              <w:spacing w:line="276" w:lineRule="auto"/>
              <w:rPr>
                <w:rFonts w:ascii="Sylfaen" w:hAnsi="Sylfaen"/>
                <w:sz w:val="24"/>
                <w:szCs w:val="24"/>
                <w:lang w:val="hy-AM"/>
              </w:rPr>
            </w:pPr>
            <w:r w:rsidRPr="00B73FCE">
              <w:rPr>
                <w:rFonts w:ascii="Sylfaen" w:hAnsi="Sylfaen"/>
                <w:sz w:val="24"/>
                <w:szCs w:val="24"/>
                <w:lang w:val="hy-AM"/>
              </w:rPr>
              <w:t>Դասընթացի պատասխանատու դասախոս</w:t>
            </w:r>
          </w:p>
        </w:tc>
        <w:tc>
          <w:tcPr>
            <w:tcW w:w="7131" w:type="dxa"/>
          </w:tcPr>
          <w:p w:rsidR="005C1E12" w:rsidRPr="00B73FCE" w:rsidRDefault="000E425E" w:rsidP="002F2741">
            <w:pPr>
              <w:spacing w:line="276" w:lineRule="auto"/>
              <w:rPr>
                <w:rFonts w:ascii="Sylfaen" w:hAnsi="Sylfaen"/>
                <w:sz w:val="24"/>
                <w:szCs w:val="24"/>
                <w:lang w:val="hy-AM"/>
              </w:rPr>
            </w:pPr>
            <w:r w:rsidRPr="00B73FCE">
              <w:rPr>
                <w:rFonts w:ascii="Sylfaen" w:hAnsi="Sylfaen"/>
                <w:sz w:val="24"/>
                <w:szCs w:val="24"/>
                <w:lang w:val="hy-AM"/>
              </w:rPr>
              <w:t xml:space="preserve">Հովհաննիսյան </w:t>
            </w:r>
            <w:r w:rsidRPr="00BB28CE">
              <w:rPr>
                <w:rFonts w:ascii="Sylfaen" w:hAnsi="Sylfaen"/>
                <w:sz w:val="24"/>
                <w:szCs w:val="24"/>
                <w:lang w:val="hy-AM"/>
              </w:rPr>
              <w:t>Ա</w:t>
            </w:r>
            <w:r w:rsidR="002F2741" w:rsidRPr="002F2741">
              <w:rPr>
                <w:rFonts w:ascii="Sylfaen" w:hAnsi="Sylfaen"/>
                <w:sz w:val="24"/>
                <w:szCs w:val="24"/>
                <w:lang w:val="hy-AM"/>
              </w:rPr>
              <w:t>.</w:t>
            </w:r>
            <w:r w:rsidR="004E7DFC" w:rsidRPr="00BB28CE">
              <w:rPr>
                <w:rFonts w:ascii="Sylfaen" w:hAnsi="Sylfaen"/>
                <w:sz w:val="24"/>
                <w:szCs w:val="24"/>
                <w:lang w:val="hy-AM"/>
              </w:rPr>
              <w:t xml:space="preserve">, </w:t>
            </w:r>
            <w:r w:rsidR="0028356E" w:rsidRPr="00BB28CE">
              <w:rPr>
                <w:rFonts w:ascii="Sylfaen" w:hAnsi="Sylfaen"/>
                <w:sz w:val="24"/>
                <w:szCs w:val="24"/>
                <w:lang w:val="hy-AM"/>
              </w:rPr>
              <w:t>տ</w:t>
            </w:r>
            <w:r w:rsidR="00BB28CE" w:rsidRPr="00BB28CE">
              <w:rPr>
                <w:rFonts w:ascii="Sylfaen" w:hAnsi="Sylfaen"/>
                <w:sz w:val="24"/>
                <w:szCs w:val="24"/>
                <w:lang w:val="hy-AM"/>
              </w:rPr>
              <w:t>նտ</w:t>
            </w:r>
            <w:r w:rsidR="0028356E" w:rsidRPr="00BB28CE">
              <w:rPr>
                <w:rFonts w:ascii="Sylfaen" w:hAnsi="Sylfaen"/>
                <w:sz w:val="24"/>
                <w:szCs w:val="24"/>
                <w:lang w:val="hy-AM"/>
              </w:rPr>
              <w:t>.թ., դոցենտ</w:t>
            </w:r>
          </w:p>
        </w:tc>
      </w:tr>
      <w:tr w:rsidR="005C1E12" w:rsidRPr="00F90F76" w:rsidTr="005C1E12">
        <w:tc>
          <w:tcPr>
            <w:tcW w:w="2547" w:type="dxa"/>
          </w:tcPr>
          <w:p w:rsidR="005C1E12" w:rsidRPr="00B73FCE" w:rsidRDefault="005C1E12" w:rsidP="00417668">
            <w:pPr>
              <w:spacing w:line="276" w:lineRule="auto"/>
              <w:rPr>
                <w:rFonts w:ascii="Sylfaen" w:hAnsi="Sylfaen"/>
                <w:sz w:val="24"/>
                <w:szCs w:val="24"/>
                <w:lang w:val="hy-AM"/>
              </w:rPr>
            </w:pPr>
            <w:r w:rsidRPr="00B73FCE">
              <w:rPr>
                <w:rFonts w:ascii="Sylfaen" w:hAnsi="Sylfaen"/>
                <w:sz w:val="24"/>
                <w:szCs w:val="24"/>
                <w:lang w:val="hy-AM"/>
              </w:rPr>
              <w:t>Ուսումնառության վերջնարդյունքներ</w:t>
            </w:r>
          </w:p>
        </w:tc>
        <w:tc>
          <w:tcPr>
            <w:tcW w:w="7131" w:type="dxa"/>
          </w:tcPr>
          <w:p w:rsidR="00193FB1" w:rsidRPr="00B73FCE" w:rsidRDefault="00193FB1" w:rsidP="00121414">
            <w:pPr>
              <w:spacing w:line="276" w:lineRule="auto"/>
              <w:rPr>
                <w:rFonts w:ascii="Sylfaen" w:hAnsi="Sylfaen" w:cs="Sylfaen"/>
                <w:sz w:val="24"/>
                <w:szCs w:val="24"/>
                <w:lang w:val="hy-AM"/>
              </w:rPr>
            </w:pPr>
            <w:r w:rsidRPr="00B73FCE">
              <w:rPr>
                <w:rFonts w:ascii="Sylfaen" w:hAnsi="Sylfaen"/>
                <w:sz w:val="24"/>
                <w:szCs w:val="24"/>
                <w:lang w:val="hy-AM"/>
              </w:rPr>
              <w:t xml:space="preserve">    Դասընթացի ավարտին ուսանողն ունակ կլինի.</w:t>
            </w:r>
          </w:p>
          <w:p w:rsidR="00417668" w:rsidRPr="00B73FCE" w:rsidRDefault="00417668" w:rsidP="00121414">
            <w:pPr>
              <w:spacing w:line="276" w:lineRule="auto"/>
              <w:ind w:firstLine="360"/>
              <w:rPr>
                <w:rFonts w:ascii="Sylfaen" w:hAnsi="Sylfaen"/>
                <w:color w:val="000000"/>
                <w:sz w:val="24"/>
                <w:szCs w:val="24"/>
                <w:lang w:val="hy-AM"/>
              </w:rPr>
            </w:pPr>
          </w:p>
          <w:p w:rsidR="00193FB1" w:rsidRPr="00B73FCE" w:rsidRDefault="00193FB1" w:rsidP="00121414">
            <w:pPr>
              <w:spacing w:line="276" w:lineRule="auto"/>
              <w:contextualSpacing/>
              <w:rPr>
                <w:rFonts w:ascii="Sylfaen" w:hAnsi="Sylfaen"/>
                <w:sz w:val="24"/>
                <w:szCs w:val="24"/>
                <w:lang w:val="hy-AM"/>
              </w:rPr>
            </w:pPr>
            <w:r w:rsidRPr="00B73FCE">
              <w:rPr>
                <w:rFonts w:ascii="Sylfaen" w:hAnsi="Sylfaen"/>
                <w:i/>
                <w:sz w:val="24"/>
                <w:szCs w:val="24"/>
                <w:lang w:val="hy-AM"/>
              </w:rPr>
              <w:t xml:space="preserve">       </w:t>
            </w:r>
            <w:r w:rsidR="00121414" w:rsidRPr="00016F1A">
              <w:rPr>
                <w:rFonts w:ascii="Sylfaen" w:hAnsi="Sylfaen"/>
                <w:i/>
                <w:sz w:val="24"/>
                <w:szCs w:val="24"/>
                <w:lang w:val="hy-AM"/>
              </w:rPr>
              <w:t xml:space="preserve">    </w:t>
            </w:r>
            <w:r w:rsidRPr="00B73FCE">
              <w:rPr>
                <w:rFonts w:ascii="Sylfaen" w:hAnsi="Sylfaen"/>
                <w:i/>
                <w:sz w:val="24"/>
                <w:szCs w:val="24"/>
                <w:lang w:val="hy-AM"/>
              </w:rPr>
              <w:t>(գիտելիք և իմացություն)</w:t>
            </w:r>
          </w:p>
          <w:p w:rsidR="002F7E89" w:rsidRPr="00B73FCE" w:rsidRDefault="002F7E89" w:rsidP="00121414">
            <w:pPr>
              <w:pStyle w:val="ListParagraph"/>
              <w:numPr>
                <w:ilvl w:val="0"/>
                <w:numId w:val="18"/>
              </w:numPr>
              <w:spacing w:after="0"/>
              <w:ind w:left="709" w:hanging="331"/>
              <w:contextualSpacing/>
              <w:rPr>
                <w:rFonts w:ascii="Sylfaen" w:hAnsi="Sylfaen"/>
                <w:color w:val="000000"/>
                <w:sz w:val="24"/>
                <w:szCs w:val="24"/>
                <w:lang w:val="hy-AM"/>
              </w:rPr>
            </w:pPr>
            <w:r w:rsidRPr="00B73FCE">
              <w:rPr>
                <w:rFonts w:ascii="Sylfaen" w:hAnsi="Sylfaen"/>
                <w:color w:val="000000"/>
                <w:sz w:val="24"/>
                <w:szCs w:val="24"/>
                <w:lang w:val="hy-AM"/>
              </w:rPr>
              <w:t>ներկայացնել տնտեսական երևույթները,</w:t>
            </w:r>
          </w:p>
          <w:p w:rsidR="002F7E89" w:rsidRPr="00B73FCE" w:rsidRDefault="00930E8C" w:rsidP="00121414">
            <w:pPr>
              <w:pStyle w:val="ListParagraph"/>
              <w:numPr>
                <w:ilvl w:val="0"/>
                <w:numId w:val="18"/>
              </w:numPr>
              <w:spacing w:after="0"/>
              <w:ind w:left="709" w:hanging="331"/>
              <w:contextualSpacing/>
              <w:rPr>
                <w:rFonts w:ascii="Sylfaen" w:hAnsi="Sylfaen"/>
                <w:color w:val="000000"/>
                <w:sz w:val="24"/>
                <w:szCs w:val="24"/>
                <w:lang w:val="hy-AM"/>
              </w:rPr>
            </w:pPr>
            <w:r w:rsidRPr="00B73FCE">
              <w:rPr>
                <w:rFonts w:ascii="Sylfaen" w:hAnsi="Sylfaen"/>
                <w:color w:val="000000"/>
                <w:sz w:val="24"/>
                <w:szCs w:val="24"/>
                <w:lang w:val="hy-AM"/>
              </w:rPr>
              <w:t xml:space="preserve">նկարագրել </w:t>
            </w:r>
            <w:r w:rsidR="002F7E89" w:rsidRPr="00B73FCE">
              <w:rPr>
                <w:rFonts w:ascii="Sylfaen" w:hAnsi="Sylfaen"/>
                <w:color w:val="000000"/>
                <w:sz w:val="24"/>
                <w:szCs w:val="24"/>
                <w:lang w:val="hy-AM"/>
              </w:rPr>
              <w:t>տնտեսության գործընթացները կարգավո</w:t>
            </w:r>
            <w:r w:rsidR="00A40CD2" w:rsidRPr="00A40CD2">
              <w:rPr>
                <w:rFonts w:ascii="Sylfaen" w:hAnsi="Sylfaen"/>
                <w:color w:val="000000"/>
                <w:sz w:val="24"/>
                <w:szCs w:val="24"/>
                <w:lang w:val="hy-AM"/>
              </w:rPr>
              <w:t>–</w:t>
            </w:r>
            <w:r w:rsidR="002F7E89" w:rsidRPr="00B73FCE">
              <w:rPr>
                <w:rFonts w:ascii="Sylfaen" w:hAnsi="Sylfaen"/>
                <w:color w:val="000000"/>
                <w:sz w:val="24"/>
                <w:szCs w:val="24"/>
                <w:lang w:val="hy-AM"/>
              </w:rPr>
              <w:t>րող սկզբունքները</w:t>
            </w:r>
            <w:r w:rsidRPr="00B73FCE">
              <w:rPr>
                <w:rFonts w:ascii="Sylfaen" w:hAnsi="Sylfaen"/>
                <w:color w:val="000000"/>
                <w:sz w:val="24"/>
                <w:szCs w:val="24"/>
                <w:lang w:val="hy-AM"/>
              </w:rPr>
              <w:t>,</w:t>
            </w:r>
          </w:p>
          <w:p w:rsidR="002F7E89" w:rsidRPr="00B73FCE" w:rsidRDefault="002F7E89" w:rsidP="00121414">
            <w:pPr>
              <w:pStyle w:val="ListParagraph"/>
              <w:numPr>
                <w:ilvl w:val="0"/>
                <w:numId w:val="18"/>
              </w:numPr>
              <w:spacing w:after="0"/>
              <w:ind w:left="709" w:hanging="331"/>
              <w:contextualSpacing/>
              <w:rPr>
                <w:rFonts w:ascii="Sylfaen" w:hAnsi="Sylfaen"/>
                <w:color w:val="000000"/>
                <w:sz w:val="24"/>
                <w:szCs w:val="24"/>
                <w:lang w:val="hy-AM"/>
              </w:rPr>
            </w:pPr>
            <w:r w:rsidRPr="00B73FCE">
              <w:rPr>
                <w:rFonts w:ascii="Sylfaen" w:hAnsi="Sylfaen"/>
                <w:color w:val="000000"/>
                <w:sz w:val="24"/>
                <w:szCs w:val="24"/>
                <w:lang w:val="hy-AM"/>
              </w:rPr>
              <w:t>հիմնավորել նախկինում ստացված վերլուծական ենթա</w:t>
            </w:r>
            <w:r w:rsidR="00A40CD2" w:rsidRPr="00A40CD2">
              <w:rPr>
                <w:rFonts w:ascii="Sylfaen" w:hAnsi="Sylfaen"/>
                <w:color w:val="000000"/>
                <w:sz w:val="24"/>
                <w:szCs w:val="24"/>
                <w:lang w:val="hy-AM"/>
              </w:rPr>
              <w:t>–</w:t>
            </w:r>
            <w:r w:rsidRPr="00B73FCE">
              <w:rPr>
                <w:rFonts w:ascii="Sylfaen" w:hAnsi="Sylfaen"/>
                <w:color w:val="000000"/>
                <w:sz w:val="24"/>
                <w:szCs w:val="24"/>
                <w:lang w:val="hy-AM"/>
              </w:rPr>
              <w:t>դրությունների վրա կառուցված ապագայի իրավիճակի զարգացման հեռանկարները,</w:t>
            </w:r>
          </w:p>
          <w:p w:rsidR="00417668" w:rsidRPr="00B73FCE" w:rsidRDefault="00417668" w:rsidP="00121414">
            <w:pPr>
              <w:spacing w:line="276" w:lineRule="auto"/>
              <w:ind w:firstLine="378"/>
              <w:rPr>
                <w:rFonts w:ascii="Sylfaen" w:hAnsi="Sylfaen"/>
                <w:color w:val="000000"/>
                <w:sz w:val="24"/>
                <w:szCs w:val="24"/>
                <w:lang w:val="hy-AM"/>
              </w:rPr>
            </w:pPr>
          </w:p>
          <w:p w:rsidR="00193FB1" w:rsidRPr="00B73FCE" w:rsidRDefault="00193FB1" w:rsidP="00121414">
            <w:pPr>
              <w:pStyle w:val="ListParagraph"/>
              <w:spacing w:after="0"/>
              <w:ind w:left="0" w:firstLine="360"/>
              <w:rPr>
                <w:rFonts w:ascii="Sylfaen" w:hAnsi="Sylfaen"/>
                <w:i/>
                <w:sz w:val="24"/>
                <w:szCs w:val="24"/>
                <w:lang w:val="hy-AM"/>
              </w:rPr>
            </w:pPr>
            <w:r w:rsidRPr="00B73FCE">
              <w:rPr>
                <w:rFonts w:ascii="Sylfaen" w:hAnsi="Sylfaen"/>
                <w:i/>
                <w:sz w:val="24"/>
                <w:szCs w:val="24"/>
                <w:lang w:val="hy-AM"/>
              </w:rPr>
              <w:t xml:space="preserve">  </w:t>
            </w:r>
            <w:r w:rsidR="00121414" w:rsidRPr="00A40CD2">
              <w:rPr>
                <w:rFonts w:ascii="Sylfaen" w:hAnsi="Sylfaen"/>
                <w:i/>
                <w:sz w:val="24"/>
                <w:szCs w:val="24"/>
                <w:lang w:val="hy-AM"/>
              </w:rPr>
              <w:t xml:space="preserve">   </w:t>
            </w:r>
            <w:r w:rsidRPr="00B73FCE">
              <w:rPr>
                <w:rFonts w:ascii="Sylfaen" w:hAnsi="Sylfaen"/>
                <w:i/>
                <w:sz w:val="24"/>
                <w:szCs w:val="24"/>
                <w:lang w:val="hy-AM"/>
              </w:rPr>
              <w:t>(կարողություններ)</w:t>
            </w:r>
          </w:p>
          <w:p w:rsidR="00177514" w:rsidRPr="00B73FCE" w:rsidRDefault="002F7E89" w:rsidP="00121414">
            <w:pPr>
              <w:pStyle w:val="ListParagraph"/>
              <w:numPr>
                <w:ilvl w:val="0"/>
                <w:numId w:val="19"/>
              </w:numPr>
              <w:spacing w:after="0"/>
              <w:ind w:left="709" w:hanging="331"/>
              <w:contextualSpacing/>
              <w:rPr>
                <w:rFonts w:ascii="Sylfaen" w:hAnsi="Sylfaen"/>
                <w:color w:val="000000"/>
                <w:sz w:val="24"/>
                <w:szCs w:val="24"/>
                <w:lang w:val="hy-AM"/>
              </w:rPr>
            </w:pPr>
            <w:r w:rsidRPr="00B73FCE">
              <w:rPr>
                <w:rFonts w:ascii="Sylfaen" w:hAnsi="Sylfaen"/>
                <w:color w:val="000000"/>
                <w:sz w:val="24"/>
                <w:szCs w:val="24"/>
                <w:lang w:val="hy-AM"/>
              </w:rPr>
              <w:t>հաշվարկել ի</w:t>
            </w:r>
            <w:r w:rsidR="00E6287A" w:rsidRPr="00B73FCE">
              <w:rPr>
                <w:rFonts w:ascii="Sylfaen" w:hAnsi="Sylfaen"/>
                <w:color w:val="000000"/>
                <w:sz w:val="24"/>
                <w:szCs w:val="24"/>
                <w:lang w:val="hy-AM"/>
              </w:rPr>
              <w:t>՛</w:t>
            </w:r>
            <w:r w:rsidRPr="00B73FCE">
              <w:rPr>
                <w:rFonts w:ascii="Sylfaen" w:hAnsi="Sylfaen"/>
                <w:color w:val="000000"/>
                <w:sz w:val="24"/>
                <w:szCs w:val="24"/>
                <w:lang w:val="hy-AM"/>
              </w:rPr>
              <w:t>նչ արտադրել և ի</w:t>
            </w:r>
            <w:r w:rsidR="00E6287A" w:rsidRPr="00B73FCE">
              <w:rPr>
                <w:rFonts w:ascii="Sylfaen" w:hAnsi="Sylfaen"/>
                <w:color w:val="000000"/>
                <w:sz w:val="24"/>
                <w:szCs w:val="24"/>
                <w:lang w:val="hy-AM"/>
              </w:rPr>
              <w:t>՛</w:t>
            </w:r>
            <w:r w:rsidRPr="00B73FCE">
              <w:rPr>
                <w:rFonts w:ascii="Sylfaen" w:hAnsi="Sylfaen"/>
                <w:color w:val="000000"/>
                <w:sz w:val="24"/>
                <w:szCs w:val="24"/>
                <w:lang w:val="hy-AM"/>
              </w:rPr>
              <w:t>նչ ծավալով,</w:t>
            </w:r>
            <w:r w:rsidR="00193FB1" w:rsidRPr="00B73FCE">
              <w:rPr>
                <w:rFonts w:ascii="Sylfaen" w:hAnsi="Sylfaen"/>
                <w:color w:val="000000"/>
                <w:sz w:val="24"/>
                <w:szCs w:val="24"/>
                <w:lang w:val="hy-AM"/>
              </w:rPr>
              <w:t xml:space="preserve"> </w:t>
            </w:r>
          </w:p>
          <w:p w:rsidR="002F7E89" w:rsidRPr="00B73FCE" w:rsidRDefault="002F7E89" w:rsidP="00121414">
            <w:pPr>
              <w:pStyle w:val="ListParagraph"/>
              <w:numPr>
                <w:ilvl w:val="0"/>
                <w:numId w:val="19"/>
              </w:numPr>
              <w:spacing w:after="0"/>
              <w:ind w:left="709" w:hanging="331"/>
              <w:contextualSpacing/>
              <w:rPr>
                <w:rFonts w:ascii="Sylfaen" w:hAnsi="Sylfaen"/>
                <w:color w:val="000000"/>
                <w:sz w:val="24"/>
                <w:szCs w:val="24"/>
                <w:lang w:val="hy-AM"/>
              </w:rPr>
            </w:pPr>
            <w:r w:rsidRPr="00B73FCE">
              <w:rPr>
                <w:rFonts w:ascii="Sylfaen" w:hAnsi="Sylfaen"/>
                <w:color w:val="000000"/>
                <w:sz w:val="24"/>
                <w:szCs w:val="24"/>
                <w:lang w:val="hy-AM"/>
              </w:rPr>
              <w:t>որոշել թե ով է արտադրված ապրանքների կամ ծառա</w:t>
            </w:r>
            <w:r w:rsidR="001564C5" w:rsidRPr="00B73FCE">
              <w:rPr>
                <w:rFonts w:ascii="Sylfaen" w:hAnsi="Sylfaen"/>
                <w:color w:val="000000"/>
                <w:sz w:val="24"/>
                <w:szCs w:val="24"/>
                <w:lang w:val="hy-AM"/>
              </w:rPr>
              <w:t>–</w:t>
            </w:r>
            <w:r w:rsidRPr="00B73FCE">
              <w:rPr>
                <w:rFonts w:ascii="Sylfaen" w:hAnsi="Sylfaen"/>
                <w:color w:val="000000"/>
                <w:sz w:val="24"/>
                <w:szCs w:val="24"/>
                <w:lang w:val="hy-AM"/>
              </w:rPr>
              <w:t>յությունների սպառողը</w:t>
            </w:r>
            <w:r w:rsidR="00927444" w:rsidRPr="00B73FCE">
              <w:rPr>
                <w:rFonts w:ascii="Sylfaen" w:hAnsi="Sylfaen"/>
                <w:color w:val="000000"/>
                <w:sz w:val="24"/>
                <w:szCs w:val="24"/>
                <w:lang w:val="hy-AM"/>
              </w:rPr>
              <w:t>,</w:t>
            </w:r>
          </w:p>
          <w:p w:rsidR="005C1E12" w:rsidRPr="00B73FCE" w:rsidRDefault="002F7E89" w:rsidP="00121414">
            <w:pPr>
              <w:pStyle w:val="ListParagraph"/>
              <w:numPr>
                <w:ilvl w:val="0"/>
                <w:numId w:val="19"/>
              </w:numPr>
              <w:spacing w:after="0"/>
              <w:ind w:left="709" w:hanging="331"/>
              <w:contextualSpacing/>
              <w:rPr>
                <w:rFonts w:ascii="Sylfaen" w:hAnsi="Sylfaen"/>
                <w:color w:val="000000"/>
                <w:sz w:val="24"/>
                <w:szCs w:val="24"/>
                <w:lang w:val="hy-AM"/>
              </w:rPr>
            </w:pPr>
            <w:r w:rsidRPr="00B73FCE">
              <w:rPr>
                <w:rFonts w:ascii="Sylfaen" w:hAnsi="Sylfaen"/>
                <w:color w:val="000000"/>
                <w:sz w:val="24"/>
                <w:szCs w:val="24"/>
                <w:lang w:val="hy-AM"/>
              </w:rPr>
              <w:t>վերլուծել, թե ռեսուրսների ինչ քանակություն է անհրա</w:t>
            </w:r>
            <w:r w:rsidR="00F90F76">
              <w:rPr>
                <w:rFonts w:ascii="Sylfaen" w:hAnsi="Sylfaen"/>
                <w:color w:val="000000"/>
                <w:sz w:val="24"/>
                <w:szCs w:val="24"/>
                <w:lang w:val="hy-AM"/>
              </w:rPr>
              <w:softHyphen/>
            </w:r>
            <w:bookmarkStart w:id="0" w:name="_GoBack"/>
            <w:bookmarkEnd w:id="0"/>
            <w:r w:rsidRPr="00B73FCE">
              <w:rPr>
                <w:rFonts w:ascii="Sylfaen" w:hAnsi="Sylfaen"/>
                <w:color w:val="000000"/>
                <w:sz w:val="24"/>
                <w:szCs w:val="24"/>
                <w:lang w:val="hy-AM"/>
              </w:rPr>
              <w:t>ժեշտ ընթացիկ և ապագա սպառման համար։</w:t>
            </w:r>
          </w:p>
        </w:tc>
      </w:tr>
      <w:tr w:rsidR="005C1E12" w:rsidRPr="00F90F76" w:rsidTr="005C1E12">
        <w:tc>
          <w:tcPr>
            <w:tcW w:w="2547" w:type="dxa"/>
          </w:tcPr>
          <w:p w:rsidR="005C1E12" w:rsidRPr="00B73FCE" w:rsidRDefault="005C1E12" w:rsidP="00417668">
            <w:pPr>
              <w:spacing w:line="276" w:lineRule="auto"/>
              <w:rPr>
                <w:rFonts w:ascii="Sylfaen" w:hAnsi="Sylfaen"/>
                <w:sz w:val="24"/>
                <w:szCs w:val="24"/>
                <w:lang w:val="hy-AM"/>
              </w:rPr>
            </w:pPr>
            <w:r w:rsidRPr="00B73FCE">
              <w:rPr>
                <w:rFonts w:ascii="Sylfaen" w:hAnsi="Sylfaen"/>
                <w:sz w:val="24"/>
                <w:szCs w:val="24"/>
                <w:lang w:val="hy-AM"/>
              </w:rPr>
              <w:t>Դասընթացի թեմատիկ ծրագիր</w:t>
            </w:r>
          </w:p>
        </w:tc>
        <w:tc>
          <w:tcPr>
            <w:tcW w:w="7131" w:type="dxa"/>
          </w:tcPr>
          <w:p w:rsidR="00F65097"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t>Տնտեսագիտության տեսության տասը սկզբունքներ։ Մտածեք ինչպես տնտեսագետ։ Տնտեսական փոխկապ</w:t>
            </w:r>
            <w:r w:rsidR="00193FB1" w:rsidRPr="00B73FCE">
              <w:rPr>
                <w:rFonts w:ascii="Sylfaen" w:hAnsi="Sylfaen"/>
                <w:sz w:val="24"/>
                <w:szCs w:val="24"/>
                <w:lang w:val="hy-AM"/>
              </w:rPr>
              <w:t>–</w:t>
            </w:r>
            <w:r w:rsidRPr="00B73FCE">
              <w:rPr>
                <w:rFonts w:ascii="Sylfaen" w:hAnsi="Sylfaen"/>
                <w:sz w:val="24"/>
                <w:szCs w:val="24"/>
                <w:lang w:val="hy-AM"/>
              </w:rPr>
              <w:t>վածություն և առևտրից օգուտներ։</w:t>
            </w:r>
          </w:p>
          <w:p w:rsidR="00F65097"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t>Առաջարկի ու պահանջարկի շուկայական ուժեր։ Ճկու</w:t>
            </w:r>
            <w:r w:rsidR="002C2090" w:rsidRPr="00B73FCE">
              <w:rPr>
                <w:rFonts w:ascii="Sylfaen" w:hAnsi="Sylfaen"/>
                <w:sz w:val="24"/>
                <w:szCs w:val="24"/>
                <w:lang w:val="hy-AM"/>
              </w:rPr>
              <w:t>–</w:t>
            </w:r>
            <w:r w:rsidRPr="00B73FCE">
              <w:rPr>
                <w:rFonts w:ascii="Sylfaen" w:hAnsi="Sylfaen"/>
                <w:sz w:val="24"/>
                <w:szCs w:val="24"/>
                <w:lang w:val="hy-AM"/>
              </w:rPr>
              <w:t>նություն և դրա կիրառումը։</w:t>
            </w:r>
          </w:p>
          <w:p w:rsidR="00F65097"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t>Առաջարկ, պահանջարկ և պետական տնտեսական քաղաքականություն։ Առաջարկ պահանջարկ. շուկաներ և բարեկեցություն։</w:t>
            </w:r>
          </w:p>
          <w:p w:rsidR="00F65097"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t>Տեսության գործնական կիրառում</w:t>
            </w:r>
            <w:r w:rsidRPr="00B73FCE">
              <w:rPr>
                <w:rFonts w:ascii="MS Mincho" w:eastAsia="MS Mincho" w:hAnsi="MS Mincho" w:cs="MS Mincho"/>
                <w:sz w:val="24"/>
                <w:szCs w:val="24"/>
                <w:lang w:val="hy-AM"/>
              </w:rPr>
              <w:t>․</w:t>
            </w:r>
            <w:r w:rsidRPr="00B73FCE">
              <w:rPr>
                <w:rFonts w:ascii="Sylfaen" w:hAnsi="Sylfaen"/>
                <w:sz w:val="24"/>
                <w:szCs w:val="24"/>
                <w:lang w:val="hy-AM"/>
              </w:rPr>
              <w:t xml:space="preserve"> </w:t>
            </w:r>
            <w:r w:rsidRPr="00B73FCE">
              <w:rPr>
                <w:rFonts w:ascii="Sylfaen" w:hAnsi="Sylfaen" w:cs="Sylfaen"/>
                <w:sz w:val="24"/>
                <w:szCs w:val="24"/>
                <w:lang w:val="hy-AM"/>
              </w:rPr>
              <w:t>հարկման</w:t>
            </w:r>
            <w:r w:rsidRPr="00B73FCE">
              <w:rPr>
                <w:rFonts w:ascii="Sylfaen" w:hAnsi="Sylfaen"/>
                <w:sz w:val="24"/>
                <w:szCs w:val="24"/>
                <w:lang w:val="hy-AM"/>
              </w:rPr>
              <w:t xml:space="preserve"> </w:t>
            </w:r>
            <w:r w:rsidRPr="00B73FCE">
              <w:rPr>
                <w:rFonts w:ascii="Sylfaen" w:hAnsi="Sylfaen" w:cs="Sylfaen"/>
                <w:sz w:val="24"/>
                <w:szCs w:val="24"/>
                <w:lang w:val="hy-AM"/>
              </w:rPr>
              <w:t>ծախքե</w:t>
            </w:r>
            <w:r w:rsidRPr="00B73FCE">
              <w:rPr>
                <w:rFonts w:ascii="Sylfaen" w:hAnsi="Sylfaen"/>
                <w:sz w:val="24"/>
                <w:szCs w:val="24"/>
                <w:lang w:val="hy-AM"/>
              </w:rPr>
              <w:t>ր։ Տեսության գործնական կիրառում</w:t>
            </w:r>
            <w:r w:rsidRPr="00B73FCE">
              <w:rPr>
                <w:rFonts w:ascii="MS Mincho" w:eastAsia="MS Mincho" w:hAnsi="MS Mincho" w:cs="MS Mincho"/>
                <w:sz w:val="24"/>
                <w:szCs w:val="24"/>
                <w:lang w:val="hy-AM"/>
              </w:rPr>
              <w:t>․</w:t>
            </w:r>
            <w:r w:rsidRPr="00B73FCE">
              <w:rPr>
                <w:rFonts w:ascii="Sylfaen" w:hAnsi="Sylfaen"/>
                <w:sz w:val="24"/>
                <w:szCs w:val="24"/>
                <w:lang w:val="hy-AM"/>
              </w:rPr>
              <w:t xml:space="preserve"> </w:t>
            </w:r>
            <w:r w:rsidRPr="00B73FCE">
              <w:rPr>
                <w:rFonts w:ascii="Sylfaen" w:hAnsi="Sylfaen" w:cs="Sylfaen"/>
                <w:sz w:val="24"/>
                <w:szCs w:val="24"/>
                <w:lang w:val="hy-AM"/>
              </w:rPr>
              <w:t>միջազգային</w:t>
            </w:r>
            <w:r w:rsidRPr="00B73FCE">
              <w:rPr>
                <w:rFonts w:ascii="Sylfaen" w:hAnsi="Sylfaen"/>
                <w:sz w:val="24"/>
                <w:szCs w:val="24"/>
                <w:lang w:val="hy-AM"/>
              </w:rPr>
              <w:t xml:space="preserve"> </w:t>
            </w:r>
            <w:r w:rsidRPr="00B73FCE">
              <w:rPr>
                <w:rFonts w:ascii="Sylfaen" w:hAnsi="Sylfaen" w:cs="Sylfaen"/>
                <w:sz w:val="24"/>
                <w:szCs w:val="24"/>
                <w:lang w:val="hy-AM"/>
              </w:rPr>
              <w:t>առևտուր։</w:t>
            </w:r>
          </w:p>
          <w:p w:rsidR="00F65097"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t xml:space="preserve">Արտաքին ազդեցություններ։ Հանրային բարիքներ և ընդհանուր ռեսուրսներ։ </w:t>
            </w:r>
          </w:p>
          <w:p w:rsidR="00F65097"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lastRenderedPageBreak/>
              <w:t xml:space="preserve">Հարկային համակարգ։ Արտադրության ծախքեր։ </w:t>
            </w:r>
          </w:p>
          <w:p w:rsidR="00F65097"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t xml:space="preserve">Ընկերությունները մրցակցային շուկաներում։ Մենաշնորհ։ </w:t>
            </w:r>
          </w:p>
          <w:p w:rsidR="00F65097"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t xml:space="preserve">Մենաշնորհային մրցակցություն։ Օլիգոպոլիա։ </w:t>
            </w:r>
          </w:p>
          <w:p w:rsidR="00F65097"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t xml:space="preserve">Արտադրության գործոնների շուկաներ։ Եկամուտներ և խտրականություն։ </w:t>
            </w:r>
          </w:p>
          <w:p w:rsidR="003758B8" w:rsidRPr="00B73FCE" w:rsidRDefault="00F65097" w:rsidP="00121414">
            <w:pPr>
              <w:pStyle w:val="ListParagraph"/>
              <w:numPr>
                <w:ilvl w:val="0"/>
                <w:numId w:val="20"/>
              </w:numPr>
              <w:spacing w:after="0"/>
              <w:rPr>
                <w:rFonts w:ascii="Sylfaen" w:hAnsi="Sylfaen"/>
                <w:sz w:val="24"/>
                <w:szCs w:val="24"/>
                <w:lang w:val="hy-AM"/>
              </w:rPr>
            </w:pPr>
            <w:r w:rsidRPr="00B73FCE">
              <w:rPr>
                <w:rFonts w:ascii="Sylfaen" w:hAnsi="Sylfaen"/>
                <w:sz w:val="24"/>
                <w:szCs w:val="24"/>
                <w:lang w:val="hy-AM"/>
              </w:rPr>
              <w:t>Եկամուտների բաշխման անհավասարություն և աղքա</w:t>
            </w:r>
            <w:r w:rsidR="00121414" w:rsidRPr="00121414">
              <w:rPr>
                <w:rFonts w:ascii="Sylfaen" w:hAnsi="Sylfaen"/>
                <w:sz w:val="24"/>
                <w:szCs w:val="24"/>
                <w:lang w:val="hy-AM"/>
              </w:rPr>
              <w:t>–</w:t>
            </w:r>
            <w:r w:rsidRPr="00B73FCE">
              <w:rPr>
                <w:rFonts w:ascii="Sylfaen" w:hAnsi="Sylfaen"/>
                <w:sz w:val="24"/>
                <w:szCs w:val="24"/>
                <w:lang w:val="hy-AM"/>
              </w:rPr>
              <w:t>տություն:</w:t>
            </w:r>
          </w:p>
        </w:tc>
      </w:tr>
      <w:tr w:rsidR="005C1E12" w:rsidRPr="00B73FCE" w:rsidTr="005C1E12">
        <w:tc>
          <w:tcPr>
            <w:tcW w:w="2547" w:type="dxa"/>
          </w:tcPr>
          <w:p w:rsidR="005C1E12" w:rsidRPr="00B73FCE" w:rsidRDefault="005C1E12" w:rsidP="00417668">
            <w:pPr>
              <w:spacing w:line="276" w:lineRule="auto"/>
              <w:rPr>
                <w:rFonts w:ascii="Sylfaen" w:hAnsi="Sylfaen"/>
                <w:sz w:val="24"/>
                <w:szCs w:val="24"/>
                <w:lang w:val="hy-AM"/>
              </w:rPr>
            </w:pPr>
            <w:r w:rsidRPr="00B73FCE">
              <w:rPr>
                <w:rFonts w:ascii="Sylfaen" w:hAnsi="Sylfaen"/>
                <w:sz w:val="24"/>
                <w:szCs w:val="24"/>
                <w:lang w:val="hy-AM"/>
              </w:rPr>
              <w:lastRenderedPageBreak/>
              <w:t>Դասընթացի գրականության ցանկ</w:t>
            </w:r>
          </w:p>
        </w:tc>
        <w:tc>
          <w:tcPr>
            <w:tcW w:w="7131" w:type="dxa"/>
          </w:tcPr>
          <w:p w:rsidR="00FD5EA8" w:rsidRPr="00B73FCE" w:rsidRDefault="00FD5EA8" w:rsidP="001B5FA0">
            <w:pPr>
              <w:numPr>
                <w:ilvl w:val="0"/>
                <w:numId w:val="14"/>
              </w:numPr>
              <w:spacing w:line="276" w:lineRule="auto"/>
              <w:jc w:val="both"/>
              <w:rPr>
                <w:rFonts w:ascii="Sylfaen" w:hAnsi="Sylfaen"/>
                <w:sz w:val="24"/>
                <w:lang w:val="hy-AM"/>
              </w:rPr>
            </w:pPr>
            <w:r w:rsidRPr="00B73FCE">
              <w:rPr>
                <w:rFonts w:ascii="Sylfaen" w:hAnsi="Sylfaen"/>
                <w:sz w:val="24"/>
                <w:lang w:val="hy-AM"/>
              </w:rPr>
              <w:t>Головнина Л., Жигунова А., Экономический анализ учеб</w:t>
            </w:r>
            <w:r w:rsidR="001B5FA0">
              <w:rPr>
                <w:rFonts w:ascii="Sylfaen" w:hAnsi="Sylfaen"/>
                <w:sz w:val="24"/>
                <w:lang w:val="hy-AM"/>
              </w:rPr>
              <w:softHyphen/>
            </w:r>
            <w:r w:rsidRPr="00B73FCE">
              <w:rPr>
                <w:rFonts w:ascii="Sylfaen" w:hAnsi="Sylfaen"/>
                <w:sz w:val="24"/>
                <w:lang w:val="hy-AM"/>
              </w:rPr>
              <w:t>ник; – М.: КНОРУС, 2010</w:t>
            </w:r>
            <w:r w:rsidR="00A40CD2" w:rsidRPr="00A40CD2">
              <w:rPr>
                <w:rFonts w:ascii="Sylfaen" w:hAnsi="Sylfaen"/>
                <w:sz w:val="24"/>
                <w:lang w:val="ru-RU"/>
              </w:rPr>
              <w:t>г</w:t>
            </w:r>
            <w:r w:rsidR="00A40CD2">
              <w:rPr>
                <w:rFonts w:ascii="Sylfaen" w:hAnsi="Sylfaen"/>
                <w:sz w:val="24"/>
                <w:lang w:val="hy-AM"/>
              </w:rPr>
              <w:t>.</w:t>
            </w:r>
            <w:r w:rsidR="00A40CD2" w:rsidRPr="00A40CD2">
              <w:rPr>
                <w:rFonts w:ascii="Sylfaen" w:hAnsi="Sylfaen"/>
                <w:sz w:val="24"/>
                <w:lang w:val="ru-RU"/>
              </w:rPr>
              <w:t xml:space="preserve"> </w:t>
            </w:r>
            <w:r w:rsidRPr="00B73FCE">
              <w:rPr>
                <w:rFonts w:ascii="Sylfaen" w:hAnsi="Sylfaen"/>
                <w:sz w:val="24"/>
                <w:lang w:val="hy-AM"/>
              </w:rPr>
              <w:t xml:space="preserve">- 400с. </w:t>
            </w:r>
          </w:p>
          <w:p w:rsidR="00FD5EA8" w:rsidRPr="00B73FCE" w:rsidRDefault="00FD5EA8" w:rsidP="001B5FA0">
            <w:pPr>
              <w:numPr>
                <w:ilvl w:val="0"/>
                <w:numId w:val="14"/>
              </w:numPr>
              <w:spacing w:line="276" w:lineRule="auto"/>
              <w:jc w:val="both"/>
              <w:rPr>
                <w:rFonts w:ascii="Sylfaen" w:hAnsi="Sylfaen"/>
                <w:sz w:val="24"/>
                <w:lang w:val="hy-AM"/>
              </w:rPr>
            </w:pPr>
            <w:r w:rsidRPr="00B73FCE">
              <w:rPr>
                <w:rFonts w:ascii="Sylfaen" w:hAnsi="Sylfaen"/>
                <w:sz w:val="24"/>
                <w:lang w:val="hy-AM"/>
              </w:rPr>
              <w:t>Корнейчук, Б. В. Институциональная экономика : учебное пособие для вузов / Б. В. Корнейчук. – М.: Гардарики, 2007</w:t>
            </w:r>
            <w:r w:rsidR="00A40CD2" w:rsidRPr="006E188A">
              <w:rPr>
                <w:rFonts w:ascii="Sylfaen" w:hAnsi="Sylfaen"/>
                <w:sz w:val="24"/>
                <w:lang w:val="ru-RU"/>
              </w:rPr>
              <w:t>г</w:t>
            </w:r>
            <w:r w:rsidRPr="00B73FCE">
              <w:rPr>
                <w:rFonts w:ascii="Sylfaen" w:hAnsi="Sylfaen"/>
                <w:sz w:val="24"/>
                <w:lang w:val="hy-AM"/>
              </w:rPr>
              <w:t>. – 255с. : ил. ISBN 5-8297- 0300-9</w:t>
            </w:r>
            <w:r w:rsidRPr="00B73FCE">
              <w:rPr>
                <w:rFonts w:ascii="Times New Roman" w:hAnsi="Times New Roman" w:cs="Times New Roman"/>
                <w:sz w:val="24"/>
                <w:lang w:val="hy-AM"/>
              </w:rPr>
              <w:t>․</w:t>
            </w:r>
          </w:p>
          <w:p w:rsidR="002A470B" w:rsidRPr="00B73FCE" w:rsidRDefault="002A470B" w:rsidP="001B5FA0">
            <w:pPr>
              <w:numPr>
                <w:ilvl w:val="0"/>
                <w:numId w:val="14"/>
              </w:numPr>
              <w:spacing w:line="276" w:lineRule="auto"/>
              <w:jc w:val="both"/>
              <w:rPr>
                <w:rFonts w:ascii="Sylfaen" w:hAnsi="Sylfaen"/>
                <w:sz w:val="24"/>
                <w:lang w:val="hy-AM"/>
              </w:rPr>
            </w:pPr>
            <w:r w:rsidRPr="00B73FCE">
              <w:rPr>
                <w:rFonts w:ascii="Sylfaen" w:hAnsi="Sylfaen"/>
                <w:sz w:val="24"/>
                <w:lang w:val="hy-AM"/>
              </w:rPr>
              <w:t>Мэнкью Н., Тейлор М. Микроэкономика. 2-е изд. – СПб.: Питер, 2013. – 544 с.: ил. ISBN 975-5-496-00139-7</w:t>
            </w:r>
            <w:r w:rsidR="00FD5EA8" w:rsidRPr="00B73FCE">
              <w:rPr>
                <w:rFonts w:ascii="Times New Roman" w:hAnsi="Times New Roman" w:cs="Times New Roman"/>
                <w:sz w:val="24"/>
                <w:lang w:val="hy-AM"/>
              </w:rPr>
              <w:t>․</w:t>
            </w:r>
            <w:r w:rsidRPr="00B73FCE">
              <w:rPr>
                <w:rFonts w:ascii="Sylfaen" w:hAnsi="Sylfaen"/>
                <w:sz w:val="24"/>
                <w:lang w:val="hy-AM"/>
              </w:rPr>
              <w:t xml:space="preserve"> </w:t>
            </w:r>
          </w:p>
          <w:p w:rsidR="002A470B" w:rsidRPr="00B73FCE" w:rsidRDefault="002A470B" w:rsidP="001B5FA0">
            <w:pPr>
              <w:numPr>
                <w:ilvl w:val="0"/>
                <w:numId w:val="14"/>
              </w:numPr>
              <w:spacing w:line="276" w:lineRule="auto"/>
              <w:jc w:val="both"/>
              <w:rPr>
                <w:rFonts w:ascii="Sylfaen" w:hAnsi="Sylfaen"/>
                <w:sz w:val="24"/>
                <w:lang w:val="hy-AM"/>
              </w:rPr>
            </w:pPr>
            <w:r w:rsidRPr="00B73FCE">
              <w:rPr>
                <w:rFonts w:ascii="Sylfaen" w:hAnsi="Sylfaen"/>
                <w:sz w:val="24"/>
                <w:lang w:val="hy-AM"/>
              </w:rPr>
              <w:t>Экономика: учебник / под ред. Д-ра экон. Наук, проф. А. С. Булатова. – 4-е изд., переаб. И доп. – М. : Экономисть, 2008</w:t>
            </w:r>
            <w:r w:rsidR="00A40CD2">
              <w:rPr>
                <w:rFonts w:ascii="Sylfaen" w:hAnsi="Sylfaen"/>
                <w:sz w:val="24"/>
              </w:rPr>
              <w:t>г</w:t>
            </w:r>
            <w:r w:rsidRPr="00B73FCE">
              <w:rPr>
                <w:rFonts w:ascii="Sylfaen" w:hAnsi="Sylfaen"/>
                <w:sz w:val="24"/>
                <w:lang w:val="hy-AM"/>
              </w:rPr>
              <w:t>. – 831с. : ил. – (Homo faber)</w:t>
            </w:r>
            <w:r w:rsidR="00FD5EA8" w:rsidRPr="00B73FCE">
              <w:rPr>
                <w:rFonts w:ascii="Times New Roman" w:hAnsi="Times New Roman" w:cs="Times New Roman"/>
                <w:sz w:val="24"/>
                <w:lang w:val="hy-AM"/>
              </w:rPr>
              <w:t>․</w:t>
            </w:r>
            <w:r w:rsidRPr="00B73FCE">
              <w:rPr>
                <w:rFonts w:ascii="Sylfaen" w:hAnsi="Sylfaen"/>
                <w:sz w:val="24"/>
                <w:lang w:val="hy-AM"/>
              </w:rPr>
              <w:t xml:space="preserve"> </w:t>
            </w:r>
          </w:p>
          <w:p w:rsidR="002A470B" w:rsidRPr="00B73FCE" w:rsidRDefault="002A470B" w:rsidP="001B5FA0">
            <w:pPr>
              <w:numPr>
                <w:ilvl w:val="0"/>
                <w:numId w:val="14"/>
              </w:numPr>
              <w:spacing w:line="276" w:lineRule="auto"/>
              <w:jc w:val="both"/>
              <w:rPr>
                <w:rFonts w:ascii="Sylfaen" w:hAnsi="Sylfaen"/>
                <w:sz w:val="24"/>
                <w:lang w:val="hy-AM"/>
              </w:rPr>
            </w:pPr>
            <w:r w:rsidRPr="00B73FCE">
              <w:rPr>
                <w:rFonts w:ascii="Sylfaen" w:hAnsi="Sylfaen"/>
                <w:sz w:val="24"/>
                <w:lang w:val="hy-AM"/>
              </w:rPr>
              <w:t xml:space="preserve">Microeconomics: Theory Through Applications COOPER, R. AND JOHN, A. Microeconomics: Theory Through Applications 2015 In-text: (Cooper and John, 2015) Your Bibliography: Cooper, R. and John, A., 2015. Microeconomics: Theory Through Applications. 828 p. </w:t>
            </w:r>
          </w:p>
          <w:p w:rsidR="005C1E12" w:rsidRPr="00B73FCE" w:rsidRDefault="002A470B" w:rsidP="001B5FA0">
            <w:pPr>
              <w:numPr>
                <w:ilvl w:val="0"/>
                <w:numId w:val="14"/>
              </w:numPr>
              <w:spacing w:line="276" w:lineRule="auto"/>
              <w:jc w:val="both"/>
              <w:rPr>
                <w:rFonts w:ascii="Sylfaen" w:hAnsi="Sylfaen"/>
                <w:sz w:val="28"/>
                <w:szCs w:val="24"/>
                <w:lang w:val="hy-AM"/>
              </w:rPr>
            </w:pPr>
            <w:r w:rsidRPr="00B73FCE">
              <w:rPr>
                <w:rFonts w:ascii="Sylfaen" w:hAnsi="Sylfaen"/>
                <w:sz w:val="24"/>
                <w:lang w:val="hy-AM"/>
              </w:rPr>
              <w:t>Principles of Microeconomics 2e Senior Contributing Authors Steven A. Greenlaw, University Of Mary Washington David Shapiro, Pennsylvania State University Based on the 2nd edition of Principles of Economics, Economics and the Economy, 2e by Timothy Taylor, published in 2011. XanEdu Publishing Inc; 2nd Edition (September 15, 2017) 573p.</w:t>
            </w:r>
          </w:p>
        </w:tc>
      </w:tr>
    </w:tbl>
    <w:p w:rsidR="003758B8" w:rsidRPr="00B73FCE" w:rsidRDefault="003758B8" w:rsidP="00417668">
      <w:pPr>
        <w:spacing w:line="276" w:lineRule="auto"/>
        <w:rPr>
          <w:rFonts w:ascii="Sylfaen" w:hAnsi="Sylfaen"/>
          <w:sz w:val="24"/>
          <w:szCs w:val="24"/>
          <w:lang w:val="hy-AM"/>
        </w:rPr>
      </w:pPr>
    </w:p>
    <w:p w:rsidR="00DF1675" w:rsidRPr="00B73FCE" w:rsidRDefault="00DF1675" w:rsidP="00417668">
      <w:pPr>
        <w:spacing w:line="276" w:lineRule="auto"/>
        <w:rPr>
          <w:rFonts w:ascii="Sylfaen" w:hAnsi="Sylfaen"/>
          <w:sz w:val="24"/>
          <w:szCs w:val="24"/>
          <w:lang w:val="hy-AM"/>
        </w:rPr>
      </w:pPr>
    </w:p>
    <w:p w:rsidR="00F65097" w:rsidRPr="00B73FCE" w:rsidRDefault="00BB707E" w:rsidP="00417668">
      <w:pPr>
        <w:spacing w:after="0" w:line="276" w:lineRule="auto"/>
        <w:rPr>
          <w:rFonts w:ascii="Sylfaen" w:hAnsi="Sylfaen"/>
          <w:sz w:val="24"/>
          <w:szCs w:val="24"/>
          <w:lang w:val="hy-AM"/>
        </w:rPr>
      </w:pPr>
      <w:r w:rsidRPr="00B73FCE">
        <w:rPr>
          <w:rFonts w:ascii="Sylfaen" w:hAnsi="Sylfaen"/>
          <w:sz w:val="24"/>
          <w:szCs w:val="24"/>
          <w:lang w:val="hy-AM"/>
        </w:rPr>
        <w:tab/>
      </w:r>
      <w:r w:rsidRPr="00B73FCE">
        <w:rPr>
          <w:rFonts w:ascii="Sylfaen" w:hAnsi="Sylfaen"/>
          <w:sz w:val="24"/>
          <w:szCs w:val="24"/>
          <w:lang w:val="hy-AM"/>
        </w:rPr>
        <w:tab/>
      </w:r>
    </w:p>
    <w:p w:rsidR="00BB707E" w:rsidRPr="00B73FCE" w:rsidRDefault="00BB707E" w:rsidP="00417668">
      <w:pPr>
        <w:spacing w:after="0" w:line="276" w:lineRule="auto"/>
        <w:rPr>
          <w:rFonts w:ascii="Sylfaen" w:hAnsi="Sylfaen"/>
          <w:sz w:val="24"/>
          <w:szCs w:val="24"/>
          <w:lang w:val="hy-AM"/>
        </w:rPr>
      </w:pPr>
    </w:p>
    <w:sectPr w:rsidR="00BB707E" w:rsidRPr="00B73FCE" w:rsidSect="000E011C">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7BD7"/>
    <w:multiLevelType w:val="hybridMultilevel"/>
    <w:tmpl w:val="725A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22F48"/>
    <w:multiLevelType w:val="hybridMultilevel"/>
    <w:tmpl w:val="3398C496"/>
    <w:lvl w:ilvl="0" w:tplc="4836B5BA">
      <w:start w:val="1"/>
      <w:numFmt w:val="decimal"/>
      <w:lvlText w:val="%1."/>
      <w:lvlJc w:val="left"/>
      <w:pPr>
        <w:ind w:left="644" w:hanging="360"/>
      </w:pPr>
      <w:rPr>
        <w:b w:val="0"/>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8B4C0A"/>
    <w:multiLevelType w:val="hybridMultilevel"/>
    <w:tmpl w:val="CFFC85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4F76D0"/>
    <w:multiLevelType w:val="hybridMultilevel"/>
    <w:tmpl w:val="D13A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F7051"/>
    <w:multiLevelType w:val="hybridMultilevel"/>
    <w:tmpl w:val="3800CFB8"/>
    <w:lvl w:ilvl="0" w:tplc="040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21613E38"/>
    <w:multiLevelType w:val="hybridMultilevel"/>
    <w:tmpl w:val="493A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627E2"/>
    <w:multiLevelType w:val="hybridMultilevel"/>
    <w:tmpl w:val="9C38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22490"/>
    <w:multiLevelType w:val="hybridMultilevel"/>
    <w:tmpl w:val="BBBE1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267AE5"/>
    <w:multiLevelType w:val="hybridMultilevel"/>
    <w:tmpl w:val="ED4C2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D54F6C"/>
    <w:multiLevelType w:val="hybridMultilevel"/>
    <w:tmpl w:val="1AEE77B4"/>
    <w:lvl w:ilvl="0" w:tplc="0409000F">
      <w:start w:val="1"/>
      <w:numFmt w:val="decimal"/>
      <w:lvlText w:val="%1."/>
      <w:lvlJc w:val="left"/>
      <w:pPr>
        <w:ind w:left="1496" w:hanging="360"/>
      </w:p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start w:val="1"/>
      <w:numFmt w:val="decimal"/>
      <w:lvlText w:val="%4."/>
      <w:lvlJc w:val="left"/>
      <w:pPr>
        <w:ind w:left="3656" w:hanging="360"/>
      </w:pPr>
    </w:lvl>
    <w:lvl w:ilvl="4" w:tplc="04090019">
      <w:start w:val="1"/>
      <w:numFmt w:val="lowerLetter"/>
      <w:lvlText w:val="%5."/>
      <w:lvlJc w:val="left"/>
      <w:pPr>
        <w:ind w:left="4376" w:hanging="360"/>
      </w:pPr>
    </w:lvl>
    <w:lvl w:ilvl="5" w:tplc="0409001B">
      <w:start w:val="1"/>
      <w:numFmt w:val="lowerRoman"/>
      <w:lvlText w:val="%6."/>
      <w:lvlJc w:val="right"/>
      <w:pPr>
        <w:ind w:left="5096" w:hanging="180"/>
      </w:pPr>
    </w:lvl>
    <w:lvl w:ilvl="6" w:tplc="0409000F">
      <w:start w:val="1"/>
      <w:numFmt w:val="decimal"/>
      <w:lvlText w:val="%7."/>
      <w:lvlJc w:val="left"/>
      <w:pPr>
        <w:ind w:left="5816" w:hanging="360"/>
      </w:pPr>
    </w:lvl>
    <w:lvl w:ilvl="7" w:tplc="04090019">
      <w:start w:val="1"/>
      <w:numFmt w:val="lowerLetter"/>
      <w:lvlText w:val="%8."/>
      <w:lvlJc w:val="left"/>
      <w:pPr>
        <w:ind w:left="6536" w:hanging="360"/>
      </w:pPr>
    </w:lvl>
    <w:lvl w:ilvl="8" w:tplc="0409001B">
      <w:start w:val="1"/>
      <w:numFmt w:val="lowerRoman"/>
      <w:lvlText w:val="%9."/>
      <w:lvlJc w:val="right"/>
      <w:pPr>
        <w:ind w:left="7256" w:hanging="180"/>
      </w:pPr>
    </w:lvl>
  </w:abstractNum>
  <w:abstractNum w:abstractNumId="10">
    <w:nsid w:val="4F24701D"/>
    <w:multiLevelType w:val="hybridMultilevel"/>
    <w:tmpl w:val="AFAE2ACA"/>
    <w:lvl w:ilvl="0" w:tplc="040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53913671"/>
    <w:multiLevelType w:val="hybridMultilevel"/>
    <w:tmpl w:val="9446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635A0"/>
    <w:multiLevelType w:val="hybridMultilevel"/>
    <w:tmpl w:val="096A78FC"/>
    <w:lvl w:ilvl="0" w:tplc="04090001">
      <w:start w:val="1"/>
      <w:numFmt w:val="bullet"/>
      <w:lvlText w:val=""/>
      <w:lvlJc w:val="left"/>
      <w:pPr>
        <w:ind w:left="1496" w:hanging="360"/>
      </w:pPr>
      <w:rPr>
        <w:rFonts w:ascii="Symbol" w:hAnsi="Symbol" w:hint="default"/>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start w:val="1"/>
      <w:numFmt w:val="decimal"/>
      <w:lvlText w:val="%4."/>
      <w:lvlJc w:val="left"/>
      <w:pPr>
        <w:ind w:left="3656" w:hanging="360"/>
      </w:pPr>
    </w:lvl>
    <w:lvl w:ilvl="4" w:tplc="04090019">
      <w:start w:val="1"/>
      <w:numFmt w:val="lowerLetter"/>
      <w:lvlText w:val="%5."/>
      <w:lvlJc w:val="left"/>
      <w:pPr>
        <w:ind w:left="4376" w:hanging="360"/>
      </w:pPr>
    </w:lvl>
    <w:lvl w:ilvl="5" w:tplc="0409001B">
      <w:start w:val="1"/>
      <w:numFmt w:val="lowerRoman"/>
      <w:lvlText w:val="%6."/>
      <w:lvlJc w:val="right"/>
      <w:pPr>
        <w:ind w:left="5096" w:hanging="180"/>
      </w:pPr>
    </w:lvl>
    <w:lvl w:ilvl="6" w:tplc="0409000F">
      <w:start w:val="1"/>
      <w:numFmt w:val="decimal"/>
      <w:lvlText w:val="%7."/>
      <w:lvlJc w:val="left"/>
      <w:pPr>
        <w:ind w:left="5816" w:hanging="360"/>
      </w:pPr>
    </w:lvl>
    <w:lvl w:ilvl="7" w:tplc="04090019">
      <w:start w:val="1"/>
      <w:numFmt w:val="lowerLetter"/>
      <w:lvlText w:val="%8."/>
      <w:lvlJc w:val="left"/>
      <w:pPr>
        <w:ind w:left="6536" w:hanging="360"/>
      </w:pPr>
    </w:lvl>
    <w:lvl w:ilvl="8" w:tplc="0409001B">
      <w:start w:val="1"/>
      <w:numFmt w:val="lowerRoman"/>
      <w:lvlText w:val="%9."/>
      <w:lvlJc w:val="right"/>
      <w:pPr>
        <w:ind w:left="7256" w:hanging="180"/>
      </w:pPr>
    </w:lvl>
  </w:abstractNum>
  <w:abstractNum w:abstractNumId="13">
    <w:nsid w:val="78702621"/>
    <w:multiLevelType w:val="multilevel"/>
    <w:tmpl w:val="960840AE"/>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4"/>
  </w:num>
  <w:num w:numId="2">
    <w:abstractNumId w:val="4"/>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2"/>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7"/>
  </w:num>
  <w:num w:numId="13">
    <w:abstractNumId w:val="1"/>
  </w:num>
  <w:num w:numId="14">
    <w:abstractNumId w:val="6"/>
  </w:num>
  <w:num w:numId="15">
    <w:abstractNumId w:val="10"/>
  </w:num>
  <w:num w:numId="16">
    <w:abstractNumId w:val="8"/>
  </w:num>
  <w:num w:numId="17">
    <w:abstractNumId w:val="3"/>
  </w:num>
  <w:num w:numId="18">
    <w:abstractNumId w:val="4"/>
  </w:num>
  <w:num w:numId="19">
    <w:abstractNumId w:val="10"/>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38"/>
    <w:rsid w:val="000119CA"/>
    <w:rsid w:val="00016F1A"/>
    <w:rsid w:val="00097C09"/>
    <w:rsid w:val="000E011C"/>
    <w:rsid w:val="000E425E"/>
    <w:rsid w:val="000F4B02"/>
    <w:rsid w:val="0011154C"/>
    <w:rsid w:val="00121414"/>
    <w:rsid w:val="001344D8"/>
    <w:rsid w:val="00150C22"/>
    <w:rsid w:val="001564C5"/>
    <w:rsid w:val="00177514"/>
    <w:rsid w:val="00193FB1"/>
    <w:rsid w:val="001B5FA0"/>
    <w:rsid w:val="0028356E"/>
    <w:rsid w:val="002A470B"/>
    <w:rsid w:val="002C2090"/>
    <w:rsid w:val="002F2741"/>
    <w:rsid w:val="002F7E89"/>
    <w:rsid w:val="00311770"/>
    <w:rsid w:val="003758B8"/>
    <w:rsid w:val="00417668"/>
    <w:rsid w:val="004E7DFC"/>
    <w:rsid w:val="00536C17"/>
    <w:rsid w:val="005C1E12"/>
    <w:rsid w:val="005C5C38"/>
    <w:rsid w:val="006E188A"/>
    <w:rsid w:val="0074360B"/>
    <w:rsid w:val="0078421D"/>
    <w:rsid w:val="00927444"/>
    <w:rsid w:val="00930E8C"/>
    <w:rsid w:val="009F0D7D"/>
    <w:rsid w:val="00A40CD2"/>
    <w:rsid w:val="00AA23F0"/>
    <w:rsid w:val="00AB5199"/>
    <w:rsid w:val="00B73FCE"/>
    <w:rsid w:val="00BB28CE"/>
    <w:rsid w:val="00BB707E"/>
    <w:rsid w:val="00C053FD"/>
    <w:rsid w:val="00C94C35"/>
    <w:rsid w:val="00CE4F29"/>
    <w:rsid w:val="00DF1675"/>
    <w:rsid w:val="00E6287A"/>
    <w:rsid w:val="00E66766"/>
    <w:rsid w:val="00E85D91"/>
    <w:rsid w:val="00EC5B03"/>
    <w:rsid w:val="00F03F55"/>
    <w:rsid w:val="00F65097"/>
    <w:rsid w:val="00F90F76"/>
    <w:rsid w:val="00FD5EA8"/>
    <w:rsid w:val="00FE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6A5E-4427-422C-98D5-C802DC63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OBC Bullet,List Paragraph11,Normal numbered,List_Paragraph,Multilevel para_II"/>
    <w:basedOn w:val="Normal"/>
    <w:link w:val="ListParagraphChar"/>
    <w:uiPriority w:val="34"/>
    <w:qFormat/>
    <w:rsid w:val="009F0D7D"/>
    <w:pPr>
      <w:spacing w:after="200" w:line="276" w:lineRule="auto"/>
      <w:ind w:left="720"/>
    </w:pPr>
    <w:rPr>
      <w:rFonts w:ascii="Calibri" w:eastAsia="Times New Roman" w:hAnsi="Calibri" w:cs="Calibri"/>
    </w:rPr>
  </w:style>
  <w:style w:type="character" w:styleId="FollowedHyperlink">
    <w:name w:val="FollowedHyperlink"/>
    <w:uiPriority w:val="99"/>
    <w:semiHidden/>
    <w:unhideWhenUsed/>
    <w:rsid w:val="003758B8"/>
    <w:rPr>
      <w:color w:val="954F72"/>
      <w:u w:val="single"/>
    </w:rPr>
  </w:style>
  <w:style w:type="character" w:customStyle="1" w:styleId="ListParagraphChar">
    <w:name w:val="List Paragraph Char"/>
    <w:aliases w:val="List Paragraph (numbered (a)) Char,OBC Bullet Char,List Paragraph11 Char,Normal numbered Char,List_Paragraph Char,Multilevel para_II Char"/>
    <w:link w:val="ListParagraph"/>
    <w:uiPriority w:val="34"/>
    <w:locked/>
    <w:rsid w:val="00C94C35"/>
    <w:rPr>
      <w:rFonts w:ascii="Calibri" w:eastAsia="Times New Roman" w:hAnsi="Calibri" w:cs="Calibri"/>
    </w:rPr>
  </w:style>
  <w:style w:type="character" w:styleId="Hyperlink">
    <w:name w:val="Hyperlink"/>
    <w:uiPriority w:val="99"/>
    <w:semiHidden/>
    <w:unhideWhenUsed/>
    <w:rsid w:val="00C94C35"/>
    <w:rPr>
      <w:color w:val="0000FF"/>
      <w:u w:val="single"/>
    </w:rPr>
  </w:style>
  <w:style w:type="character" w:customStyle="1" w:styleId="fontstyle01">
    <w:name w:val="fontstyle01"/>
    <w:rsid w:val="00C94C35"/>
    <w:rPr>
      <w:rFonts w:ascii="Sylfaen" w:hAnsi="Sylfaen" w:hint="default"/>
      <w:b w:val="0"/>
      <w:bCs w:val="0"/>
      <w:i w:val="0"/>
      <w:iCs w:val="0"/>
      <w:color w:val="000000"/>
      <w:sz w:val="24"/>
      <w:szCs w:val="24"/>
    </w:rPr>
  </w:style>
  <w:style w:type="character" w:customStyle="1" w:styleId="fontstyle21">
    <w:name w:val="fontstyle21"/>
    <w:rsid w:val="00C94C3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385</Words>
  <Characters>2198</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Geghamyan</dc:creator>
  <cp:keywords/>
  <dc:description/>
  <cp:lastModifiedBy>Liana Gevorgyan</cp:lastModifiedBy>
  <cp:revision>57</cp:revision>
  <dcterms:created xsi:type="dcterms:W3CDTF">2021-03-10T11:28:00Z</dcterms:created>
  <dcterms:modified xsi:type="dcterms:W3CDTF">2022-03-31T12:17:00Z</dcterms:modified>
</cp:coreProperties>
</file>