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17" w:rsidRPr="00B86788" w:rsidRDefault="00FC0A17" w:rsidP="00FC0A1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ՀԱՅԱՍՏԱՆԻ ՀԱՆՐԱՊԵՏՈՒԹՅԱՆ ԿԱՌԱՎԱՐՈՒԹՅ</w:t>
      </w:r>
      <w:r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Ա</w:t>
      </w:r>
      <w:r w:rsidRPr="00B86788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</w:rPr>
        <w:t>Ն</w:t>
      </w:r>
    </w:p>
    <w:p w:rsidR="00FC0A17" w:rsidRPr="00B86788" w:rsidRDefault="00FC0A17" w:rsidP="00FC0A1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B86788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FC0A17" w:rsidRPr="00440FB7" w:rsidRDefault="00FC0A17" w:rsidP="00FC0A1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aps/>
          <w:color w:val="000000"/>
          <w:sz w:val="21"/>
          <w:szCs w:val="21"/>
        </w:rPr>
      </w:pPr>
      <w:r w:rsidRPr="00440FB7">
        <w:rPr>
          <w:rFonts w:ascii="Arial Unicode" w:eastAsia="Times New Roman" w:hAnsi="Arial Unicode" w:cs="Times New Roman"/>
          <w:b/>
          <w:caps/>
          <w:color w:val="000000"/>
          <w:sz w:val="21"/>
          <w:szCs w:val="21"/>
        </w:rPr>
        <w:t>18 հունիսի 2020 թվականի N 1035-Ն որոշման համաձայն՝ Ճարտարապետության և շինարարաության Հայաստանի ազգայի</w:t>
      </w:r>
      <w:r>
        <w:rPr>
          <w:rFonts w:ascii="Arial Unicode" w:eastAsia="Times New Roman" w:hAnsi="Arial Unicode" w:cs="Times New Roman"/>
          <w:b/>
          <w:caps/>
          <w:color w:val="000000"/>
          <w:sz w:val="21"/>
          <w:szCs w:val="21"/>
        </w:rPr>
        <w:t xml:space="preserve">ն համալսարանի մագիստրատուրայի ԵՎ </w:t>
      </w:r>
      <w:r w:rsidRPr="00440FB7">
        <w:rPr>
          <w:rFonts w:ascii="Arial Unicode" w:eastAsia="Times New Roman" w:hAnsi="Arial Unicode" w:cs="Times New Roman"/>
          <w:b/>
          <w:caps/>
          <w:color w:val="000000"/>
          <w:sz w:val="21"/>
          <w:szCs w:val="21"/>
        </w:rPr>
        <w:t>ասպիրանտուրայի</w:t>
      </w:r>
      <w:r>
        <w:rPr>
          <w:rFonts w:ascii="Arial Unicode" w:eastAsia="Times New Roman" w:hAnsi="Arial Unicode" w:cs="Times New Roman"/>
          <w:caps/>
          <w:color w:val="000000"/>
          <w:sz w:val="21"/>
          <w:szCs w:val="21"/>
        </w:rPr>
        <w:t xml:space="preserve"> </w:t>
      </w:r>
      <w:r w:rsidRPr="00B867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ԱՅՆ ՄԱՍՆԱԳԻՏՈՒԹՅՈՒՆՆԵՐԸ</w:t>
      </w: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,</w:t>
      </w:r>
      <w:r>
        <w:rPr>
          <w:rFonts w:ascii="Arial Unicode" w:eastAsia="Times New Roman" w:hAnsi="Arial Unicode" w:cs="Times New Roman"/>
          <w:caps/>
          <w:color w:val="000000"/>
          <w:sz w:val="21"/>
          <w:szCs w:val="21"/>
        </w:rPr>
        <w:t xml:space="preserve"> </w:t>
      </w:r>
      <w:r w:rsidRPr="00B867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 xml:space="preserve">ՈՐՈՆՑԻՑ ՈՐԵՎԷ ՄԵԿՈՎ ԱՌԿԱ ՈՒՍՈՒՑՄԱՄԲ </w:t>
      </w: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 xml:space="preserve">ԱՍՊԻՐԱՆՏԻ ԵՎ </w:t>
      </w:r>
      <w:r w:rsidRPr="00B86788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ՈՒՍԱՆՈՂԻ ԱՇԽԱՏԱՎԱՐՁԻ ԵՎ ԴՐԱՆ ՀԱՎԱՍԱՐԵՑՎԱԾ ՎՃԱՐՈՒՄՆԵՐԻ ՄԱՍՈՎ ՀԱՅԱՍՏԱՆԻ ՀԱՆՐԱՊԵՏՈՒԹՅԱՆ ՀԱՐԿԱՅԻՆ ՕՐԵՆՍԳՐՔՈՎ ՍԱՀՄԱՆՎԱԾ ԿԱՐԳՈՎ ՀԱՇՎԱՐԿՎԱԾ ԵԿԱՄՏԱՅԻՆ ՀԱՐԿՆ ՈՒՍՄԱՆ ՎԱՐՁԱՎՃԱՐԻ ՓՈԽՀԱՏՈՒՑՄԱՆ ՆՊԱՏԱԿՈՎ ՎԵՐԱԴԱՐՁՎՈՒՄ Է</w:t>
      </w:r>
      <w:r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</w:rPr>
        <w:t>՝</w:t>
      </w:r>
    </w:p>
    <w:p w:rsidR="00FC0A17" w:rsidRDefault="00FC0A17" w:rsidP="00FC0A17">
      <w:pPr>
        <w:shd w:val="clear" w:color="auto" w:fill="FFFFFF"/>
        <w:spacing w:after="0" w:line="240" w:lineRule="auto"/>
        <w:rPr>
          <w:caps/>
        </w:rPr>
      </w:pPr>
    </w:p>
    <w:p w:rsidR="00FC0A17" w:rsidRDefault="00FC0A17" w:rsidP="00FC0A17">
      <w:pPr>
        <w:shd w:val="clear" w:color="auto" w:fill="FFFFFF"/>
        <w:spacing w:after="0" w:line="240" w:lineRule="auto"/>
        <w:rPr>
          <w:caps/>
        </w:rPr>
      </w:pPr>
    </w:p>
    <w:p w:rsidR="00FC0A17" w:rsidRPr="00417D2C" w:rsidRDefault="00FC0A17" w:rsidP="00FC0A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hAnsi="Sylfaen"/>
          <w:b/>
          <w:caps/>
          <w:sz w:val="24"/>
          <w:szCs w:val="24"/>
        </w:rPr>
      </w:pP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Համալսարանի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մագիստրատուրայի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հետևյալ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մասնագիտություններով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սովորող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ուսանողների</w:t>
      </w:r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ն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՝</w:t>
      </w:r>
    </w:p>
    <w:p w:rsidR="00FC0A17" w:rsidRPr="0031400B" w:rsidRDefault="00FC0A17" w:rsidP="00FC0A17">
      <w:pPr>
        <w:shd w:val="clear" w:color="auto" w:fill="FFFFFF"/>
        <w:spacing w:after="0" w:line="240" w:lineRule="auto"/>
        <w:rPr>
          <w:rFonts w:ascii="Sylfaen" w:hAnsi="Sylfaen"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359"/>
        <w:gridCol w:w="3313"/>
      </w:tblGrid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Դասիչը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Մասնագիտությունը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Որակավորումը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021201.00.7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Դիզայն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Արվեստի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052201.00.7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Բնապահպանություն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բնօգտագործում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Շրջակա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միջավայրի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061101.00.7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Ինֆորմատիկա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համակարգչային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գիտություն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Ինֆորմատիկայի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061104.00.7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համակարգեր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Ինֆորմատիկայի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073101.00.7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Ճարտարապետություն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Ճարտարապետության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073102.00.7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Քաղաքային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տնտեսություն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Ճարտարագիտության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101501.00.7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Զբոսաշրջություն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Զբոսաշրջության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  <w:tr w:rsidR="00FC0A17" w:rsidTr="00387E55">
        <w:tc>
          <w:tcPr>
            <w:tcW w:w="3290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073201.00.7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Շինարարություն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hd w:val="clear" w:color="auto" w:fill="FFFFFF"/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Ճարտարագիտության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մագիստրոս</w:t>
            </w:r>
            <w:proofErr w:type="spellEnd"/>
          </w:p>
        </w:tc>
      </w:tr>
    </w:tbl>
    <w:p w:rsidR="00FC0A17" w:rsidRPr="0031400B" w:rsidRDefault="00FC0A17" w:rsidP="00FC0A17">
      <w:pPr>
        <w:shd w:val="clear" w:color="auto" w:fill="FFFFFF"/>
        <w:spacing w:after="0" w:line="240" w:lineRule="auto"/>
        <w:jc w:val="center"/>
        <w:rPr>
          <w:caps/>
          <w:sz w:val="24"/>
          <w:szCs w:val="24"/>
        </w:rPr>
      </w:pPr>
    </w:p>
    <w:p w:rsidR="00FC0A17" w:rsidRPr="003B4DA4" w:rsidRDefault="00FC0A17" w:rsidP="00FC0A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ylfaen" w:hAnsi="Sylfaen"/>
          <w:caps/>
          <w:sz w:val="24"/>
          <w:szCs w:val="24"/>
        </w:rPr>
      </w:pP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Ասպիրանտուրայի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հետևյալ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մասնագիտություններով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սովորող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ասպիրանտների</w:t>
      </w:r>
      <w:r>
        <w:rPr>
          <w:rFonts w:ascii="Sylfaen" w:eastAsia="Times New Roman" w:hAnsi="Sylfaen" w:cs="Times New Roman"/>
          <w:b/>
          <w:color w:val="000000"/>
          <w:sz w:val="24"/>
          <w:szCs w:val="24"/>
        </w:rPr>
        <w:t>ն</w:t>
      </w:r>
      <w:proofErr w:type="spellEnd"/>
      <w:r w:rsidRPr="003B4DA4">
        <w:rPr>
          <w:rFonts w:ascii="Sylfaen" w:eastAsia="Times New Roman" w:hAnsi="Sylfaen" w:cs="Times New Roman"/>
          <w:color w:val="000000"/>
          <w:sz w:val="24"/>
          <w:szCs w:val="24"/>
        </w:rPr>
        <w:t>՝</w:t>
      </w:r>
    </w:p>
    <w:p w:rsidR="00FC0A17" w:rsidRDefault="00FC0A17" w:rsidP="00FC0A17">
      <w:pPr>
        <w:shd w:val="clear" w:color="auto" w:fill="FFFFFF"/>
        <w:spacing w:after="0" w:line="240" w:lineRule="auto"/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359"/>
        <w:gridCol w:w="3313"/>
      </w:tblGrid>
      <w:tr w:rsidR="00FC0A17" w:rsidRPr="00B86788" w:rsidTr="00387E55">
        <w:tc>
          <w:tcPr>
            <w:tcW w:w="3290" w:type="dxa"/>
          </w:tcPr>
          <w:p w:rsidR="00FC0A17" w:rsidRPr="00B86788" w:rsidRDefault="00FC0A17" w:rsidP="00387E55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Դասիչը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Մասնագիտությունը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pacing w:before="100" w:beforeAutospacing="1" w:after="100" w:afterAutospacing="1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Որակավորումը</w:t>
            </w:r>
            <w:proofErr w:type="spellEnd"/>
          </w:p>
        </w:tc>
      </w:tr>
      <w:tr w:rsidR="00FC0A17" w:rsidRPr="00B86788" w:rsidTr="00387E55">
        <w:tc>
          <w:tcPr>
            <w:tcW w:w="3290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Ե.23.00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</w:rPr>
              <w:t>Շինարարություն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</w:tr>
      <w:tr w:rsidR="00FC0A17" w:rsidRPr="00B86788" w:rsidTr="00387E55">
        <w:tc>
          <w:tcPr>
            <w:tcW w:w="3290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Ե.23.02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արդյունաբերական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հիդրոտեխնիկական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տրանսպորտային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ստորգետնյա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շինարարություն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</w:p>
        </w:tc>
      </w:tr>
      <w:tr w:rsidR="00FC0A17" w:rsidRPr="00B86788" w:rsidTr="00387E55">
        <w:tc>
          <w:tcPr>
            <w:tcW w:w="3290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Ե.23.06</w:t>
            </w:r>
          </w:p>
        </w:tc>
        <w:tc>
          <w:tcPr>
            <w:tcW w:w="3359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Գեոդեզիա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ներառյալ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քարտեզագրություն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կադաստր</w:t>
            </w:r>
            <w:proofErr w:type="spellEnd"/>
          </w:p>
        </w:tc>
        <w:tc>
          <w:tcPr>
            <w:tcW w:w="3313" w:type="dxa"/>
          </w:tcPr>
          <w:p w:rsidR="00FC0A17" w:rsidRPr="00B86788" w:rsidRDefault="00FC0A17" w:rsidP="00387E55">
            <w:pPr>
              <w:spacing w:before="100" w:beforeAutospacing="1" w:after="100" w:afterAutospacing="1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Տեխնիկական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աշխարհագրական</w:t>
            </w:r>
            <w:proofErr w:type="spellEnd"/>
          </w:p>
        </w:tc>
      </w:tr>
    </w:tbl>
    <w:p w:rsidR="00FC0A17" w:rsidRDefault="00FC0A17" w:rsidP="00FC0A17">
      <w:pPr>
        <w:shd w:val="clear" w:color="auto" w:fill="FFFFFF"/>
        <w:spacing w:after="0" w:line="240" w:lineRule="auto"/>
        <w:rPr>
          <w:caps/>
        </w:rPr>
      </w:pPr>
    </w:p>
    <w:p w:rsidR="00FC0A17" w:rsidRPr="00417D2C" w:rsidRDefault="00FC0A17" w:rsidP="00FC0A17">
      <w:pPr>
        <w:shd w:val="clear" w:color="auto" w:fill="FFFFFF"/>
        <w:spacing w:after="0" w:line="240" w:lineRule="auto"/>
        <w:rPr>
          <w:rFonts w:ascii="Sylfaen" w:hAnsi="Sylfaen"/>
          <w:b/>
          <w:caps/>
          <w:sz w:val="24"/>
          <w:szCs w:val="24"/>
        </w:rPr>
      </w:pPr>
      <w:r>
        <w:rPr>
          <w:rFonts w:ascii="Sylfaen" w:eastAsia="Times New Roman" w:hAnsi="Sylfaen" w:cs="Times New Roman"/>
          <w:color w:val="000000"/>
          <w:sz w:val="24"/>
          <w:szCs w:val="24"/>
        </w:rPr>
        <w:t xml:space="preserve">           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Ուսման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վարձավճարի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փոխհատուցման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նպատակով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եկամտային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հարկի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գումարների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վերադարձը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կատարվում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է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հետևյալ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 </w:t>
      </w:r>
      <w:proofErr w:type="spellStart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>կարգով</w:t>
      </w:r>
      <w:proofErr w:type="spellEnd"/>
      <w:r w:rsidRPr="00417D2C">
        <w:rPr>
          <w:rFonts w:ascii="Sylfaen" w:eastAsia="Times New Roman" w:hAnsi="Sylfaen" w:cs="Times New Roman"/>
          <w:b/>
          <w:color w:val="000000"/>
          <w:sz w:val="24"/>
          <w:szCs w:val="24"/>
        </w:rPr>
        <w:t xml:space="preserve">՝ </w:t>
      </w:r>
    </w:p>
    <w:p w:rsidR="00FC0A17" w:rsidRDefault="00FC0A17" w:rsidP="00FC0A17">
      <w:pPr>
        <w:shd w:val="clear" w:color="auto" w:fill="FFFFFF"/>
        <w:spacing w:after="0" w:line="240" w:lineRule="auto"/>
        <w:rPr>
          <w:caps/>
        </w:rPr>
      </w:pP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կարգավորվում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Հայաստանի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Հանրապետության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օրենսգրքի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(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այսուհետ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օրենսգիրք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) 160.1-ին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հոդվածով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`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հանդիսացող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ֆիզիկական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անձի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վարձավճարի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փոխհատուցման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նպատակով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վերադարձնելու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կապված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հարաբերությունները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2.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գործողությունը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տարածվում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Հայաստանի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Հանրապետության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կառավարության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2020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թվականի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հունիսի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18-ի N 1035-Ն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որոշմամբ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հաստատված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մասնագիտություններով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առկա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ուսուցմամբ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մագիստրատուրայում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ասպիրանտուրայում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օրդինատուրայում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սովորող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հանդիսացող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Հայաստանի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Հանրապետության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քաղաքացիների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(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այսուհետ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)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վրա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3.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Եթե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աշխատավարձը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դրան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հավասարեցված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վճարումները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հաշվարկել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միաժամանակ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քանի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գործատուներ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սակայն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այդ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գործատուներից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որևէ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մեկը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lastRenderedPageBreak/>
        <w:t>իսկ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գործակալի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պարտավորությունից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ազատված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գործատուների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մոտ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ամիսների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սոցիալական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ամսական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(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պարզեցված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)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հաշվարկով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աշխատավարձի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դրան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հավասարեցված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վճարումների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հայտարարագրված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պարտավորությունները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կատարել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կատարել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մասնակի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ապա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այդ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գործատուի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հաշվարկած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համապատասխան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այդ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պարտավորությունների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ամբողջական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կատարումից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հետո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փաստաթղթերը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4.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որևէ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ամսում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հաշվարկված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աշխատավարձից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դրան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հավասարեցված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վճարումներից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տարբերվող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եկամուտներ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լինելու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այդ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եկամուտների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հաշվարկված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ենթակա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5.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վարձավճարի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չափով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առաջին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անգամ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նպատակով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հետևյալ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փաստաթղթերը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դրանց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լուսապատճենները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՝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ձևի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դիմում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`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բնակության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վայրի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հասցեի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կոնտակտային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տվյալների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փոխանցելու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բանկի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անվանման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նշումով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ինչպես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նաև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աշխատավարձը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դրան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հավասարեցված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գործատուի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անվանումը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ՀՎՀՀ-ն.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2)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Հայաստանի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Հանրապետությունում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հավատարմագրված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բարձրագույն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հաստատության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կնքված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պայմանագրի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պատճենը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3)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անձը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հաստատող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փաստաթուղթ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`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Հայաստանի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Հանրապետության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քաղաքացու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անձնագիրը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առկայության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նույնականացման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քարտը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4)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ծառայությունների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համարանիշը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ծառայությունների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համարանիշ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չունենալու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տեղեկանքի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5)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անվանական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տվյալների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ծառայության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համարանիշի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մասնագիտության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կրթական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աստիճանի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կուրսի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ինչպես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նաև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տվյալ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մասնագիտության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(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մասնագիտության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կրթական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ծրագրի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)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տարեկան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վարձավճարի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(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)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չափի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վերաբերյալ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հաստատության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ղեկավարի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տրամադրված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տեղեկանք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`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համաձայն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ձևի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6.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Հետագա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հաշվետու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տարիներին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վերադարձնելու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ձևի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դիմում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ինչպես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նաև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5-րդ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կետի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5-րդ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ենթակետով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նախատեսված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տեղեկանքը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եթե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մինչև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այդ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5-րդ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կետով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պահանջվող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մյուս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տեղեկատվությունը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մնացել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անփոփոխ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7.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5-րդ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6-րդ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կետերով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նախատեսված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փաստաթղթերը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ավարտից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հետո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երեք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ամսվա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։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հաջողությամբ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ավարտված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անհրաժեշտ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բոլոր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քննություններն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ավարտից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հետո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հանձնելու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5-րդ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6-րդ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կետերով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նախատեսված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փաստաթղթերը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ավարտից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հետո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6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ամսվա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8.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5-րդ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կետում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նշված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փաստաթղթերում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առկա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տեղեկատվության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փոփոխությունների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պարտավոր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մինչև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ձևի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հերթական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դիմումի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ներկայացնել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փոփոխությունները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հավաստող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փաստաթղթերը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9.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դիմումը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մերժվում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եթե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`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այն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ներկայացնելու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պահին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մեջ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ներառված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բոլոր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ամիսների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որոնց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տվյալ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տվյալ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գործատուի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մոտ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համարվել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սոցիալական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ամսական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(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պարզեցված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)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հաշվարկով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աշխատավարձի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դրան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հավասարեցված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վճարումների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հայտարարագրված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պարտավորություններն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ամբողջությամբ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կատարված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2)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չեն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5-րդ, 6-րդ և 8-րդ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կետերով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նախատեսված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փաստաթղթերը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3)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ուսանողը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որոշմամբ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կարգով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մեկ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անգամ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նույն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կրթական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աստիճանում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որևէ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մասնագիտության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գծով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օգտվել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վարձավճարի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փոխհատուցման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նպատակով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հնարավորությունից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4)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առկա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տեղեկատվության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հիման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վրա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պարզվում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փաստացի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օգտվել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օրենսգրքի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160-րդ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հոդվածով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նախատեսված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ստանալու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հնարավորությունից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։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10.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դիմումը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մերժվելու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դիմումը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ներկայացնելուն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հաջորդող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աշխատանքային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մերժման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հիմքերի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ծանուցվում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lastRenderedPageBreak/>
        <w:t xml:space="preserve">11.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մերժման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հիմքերի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բացակայության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վճարողների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սպասարկման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գործառույթ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իրականացնող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ստորաբաժանումը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դիմումը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ներկայացնելուն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հաջորդող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աշխատանքային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կազմում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վերաբերյալ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ձևի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եզրակացություն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ուղարկում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գործառույթ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իրականացնող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ստորաբաժանում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եզրակացությունների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հիման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վրա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օրենքով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սահմանված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պահանջներին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համապատասխան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կատարելու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հանգամանքներն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ստուգելու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հաշվառում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իրականացնելու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12.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Կատարվող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գործառույթ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իրականացնող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ստորաբաժանման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ընդունվելու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ոչ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ուշ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քան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եզրակացությունն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ստանալու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օրվան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հաջորդող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ութերորդ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աշխատանքային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գանձապետարան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հանձնարարական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: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գործառույթ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իրականացնող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ստորաբաժանման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մերժվելու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դեպքում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եզրակացությունն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ստանալու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օրվան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հաջորդող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աշխատանքային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եզրակացությունը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մերժման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հիմքերի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նշումով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ներկայացրած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վճարողների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սպասարկման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գործառույթ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իրականացնող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ստորաբաժանում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մերժման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հիմքերի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ծանուցելու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13.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փոխանցելու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նպատակով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մարմնի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կողմից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գանձապետարան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վճարման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հանձնարարականում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նշվում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հետևյալ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տվյալները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՝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անունը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ազգանունը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2)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ծառայությունների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համարանիշը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հանրային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ծառայությունների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համարանիշ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չունենալու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մասին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տեղեկանքի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3)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հաշվետու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վերաբերում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4)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բանկային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և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բանկի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անվանումը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5)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վերադարձվող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չափը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6)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տվյալ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հաշվետու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վերաբերյալ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կազմված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եզրակացության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.</w:t>
      </w:r>
    </w:p>
    <w:p w:rsidR="00FC0A17" w:rsidRPr="00B86788" w:rsidRDefault="00FC0A17" w:rsidP="00FC0A17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7) </w:t>
      </w: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եկամտային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հարկի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հաշվեհամարը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պետք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Pr="003B4DA4" w:rsidRDefault="00FC0A17" w:rsidP="00FC0A17">
      <w:pPr>
        <w:shd w:val="clear" w:color="auto" w:fill="FFFFFF"/>
        <w:spacing w:after="0" w:line="240" w:lineRule="auto"/>
        <w:jc w:val="both"/>
        <w:rPr>
          <w:rFonts w:ascii="Sylfaen" w:hAnsi="Sylfaen"/>
          <w:caps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14.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Հանձնարարականը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ներկայացվելու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օրվանից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հետո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՝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երեք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աշխատանքային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օրվա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վերադարձվող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գումարը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փոխանցվում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ուսանողի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բանկային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հաշվին</w:t>
      </w:r>
      <w:proofErr w:type="spellEnd"/>
      <w:r>
        <w:rPr>
          <w:rFonts w:ascii="Arial Unicode" w:eastAsia="Times New Roman" w:hAnsi="Arial Unicode" w:cs="Times New Roman"/>
          <w:sz w:val="21"/>
          <w:szCs w:val="21"/>
        </w:rPr>
        <w:t>:</w:t>
      </w:r>
    </w:p>
    <w:p w:rsidR="00FC0A17" w:rsidRDefault="00FC0A17" w:rsidP="00FC0A17">
      <w:pPr>
        <w:shd w:val="clear" w:color="auto" w:fill="FFFFFF"/>
        <w:spacing w:after="0" w:line="240" w:lineRule="auto"/>
        <w:jc w:val="both"/>
        <w:rPr>
          <w:caps/>
        </w:rPr>
      </w:pPr>
    </w:p>
    <w:p w:rsidR="00FC0A17" w:rsidRDefault="00FC0A17" w:rsidP="00FC0A17">
      <w:pPr>
        <w:shd w:val="clear" w:color="auto" w:fill="FFFFFF"/>
        <w:spacing w:after="0" w:line="240" w:lineRule="auto"/>
        <w:rPr>
          <w:caps/>
        </w:rPr>
      </w:pPr>
    </w:p>
    <w:p w:rsidR="00FC0A17" w:rsidRPr="00B86788" w:rsidRDefault="00FC0A17" w:rsidP="00FC0A17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b/>
          <w:bCs/>
          <w:caps/>
          <w:sz w:val="21"/>
          <w:szCs w:val="21"/>
        </w:rPr>
        <w:t>ՏԵՂԵԿԱՆՔ</w:t>
      </w:r>
    </w:p>
    <w:p w:rsidR="00FC0A17" w:rsidRPr="00B86788" w:rsidRDefault="00FC0A17" w:rsidP="00FC0A17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21"/>
          <w:szCs w:val="21"/>
        </w:rPr>
        <w:t> </w:t>
      </w:r>
    </w:p>
    <w:p w:rsidR="00FC0A17" w:rsidRPr="00B86788" w:rsidRDefault="00FC0A17" w:rsidP="00FC0A17">
      <w:pPr>
        <w:spacing w:after="0" w:line="240" w:lineRule="auto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b/>
          <w:bCs/>
          <w:caps/>
          <w:sz w:val="21"/>
          <w:szCs w:val="21"/>
        </w:rPr>
        <w:t>ՈՒՍԱՆՈՂԻ ԱՆՎԱՆԱԿԱՆ ՏՎՅԱԼՆԵՐԻ, ՀԱՆՐԱՅԻՆ ԾԱՌԱՅՈՒԹՅԱՆ ՀԱՄԱՐԱՆԻՇԻ, ՄԱՍՆԱԳԻՏՈՒԹՅԱՆ, ԿՐԹԱԿԱՆ ԱՍՏԻՃԱՆԻ, ԿՈՒՐՍԻ, ԻՆՉՊԵՍ ՆԱԵՎ ՏՎՅԱԼ ՄԱՍՆԱԳԻՏՈՒԹՅԱՆ ՀԱՄԱՐ ՍԱՀՄԱՆՎԱԾ ՏԱՐԵԿԱՆ ՈՒՍՄԱՆ ՎԱՐՁԻ ՉԱՓԻ ՎԵՐԱԲԵՐՅԱԼ</w:t>
      </w:r>
    </w:p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21"/>
          <w:szCs w:val="21"/>
        </w:rPr>
        <w:t> </w:t>
      </w:r>
    </w:p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21"/>
          <w:szCs w:val="21"/>
        </w:rPr>
        <w:t> </w:t>
      </w:r>
      <w:proofErr w:type="spellStart"/>
      <w:r w:rsidRPr="00B86788">
        <w:rPr>
          <w:rFonts w:ascii="Arial Unicode" w:eastAsia="Times New Roman" w:hAnsi="Arial Unicode" w:cs="Arial Unicode"/>
          <w:sz w:val="21"/>
          <w:szCs w:val="21"/>
        </w:rPr>
        <w:t>Տրվում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r w:rsidRPr="00B86788">
        <w:rPr>
          <w:rFonts w:ascii="Arial Unicode" w:eastAsia="Times New Roman" w:hAnsi="Arial Unicode" w:cs="Arial Unicode"/>
          <w:sz w:val="21"/>
          <w:szCs w:val="21"/>
        </w:rPr>
        <w:t>է</w:t>
      </w:r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_____________________________________________________________________</w:t>
      </w:r>
    </w:p>
    <w:p w:rsidR="00FC0A17" w:rsidRPr="00B86788" w:rsidRDefault="00FC0A17" w:rsidP="00FC0A1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15"/>
          <w:szCs w:val="15"/>
        </w:rPr>
        <w:t> </w:t>
      </w:r>
      <w:r w:rsidRPr="00B86788">
        <w:rPr>
          <w:rFonts w:ascii="Arial Unicode" w:eastAsia="Times New Roman" w:hAnsi="Arial Unicode" w:cs="Arial Unicode"/>
          <w:sz w:val="15"/>
          <w:szCs w:val="15"/>
        </w:rPr>
        <w:t>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անունը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ազգանունը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անձը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հաստատող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փաստաթղթի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համարը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r w:rsidRPr="00B86788">
        <w:rPr>
          <w:rFonts w:ascii="Arial Unicode" w:eastAsia="Times New Roman" w:hAnsi="Arial Unicode" w:cs="Arial Unicode"/>
          <w:sz w:val="15"/>
          <w:szCs w:val="15"/>
        </w:rPr>
        <w:t>ՀԾՀ</w:t>
      </w:r>
      <w:r w:rsidRPr="00B86788">
        <w:rPr>
          <w:rFonts w:ascii="Arial Unicode" w:eastAsia="Times New Roman" w:hAnsi="Arial Unicode" w:cs="Times New Roman"/>
          <w:sz w:val="15"/>
          <w:szCs w:val="15"/>
        </w:rPr>
        <w:t></w:t>
      </w:r>
    </w:p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21"/>
          <w:szCs w:val="21"/>
        </w:rPr>
        <w:t> </w:t>
      </w:r>
    </w:p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proofErr w:type="spellStart"/>
      <w:proofErr w:type="gramStart"/>
      <w:r w:rsidRPr="00B86788">
        <w:rPr>
          <w:rFonts w:ascii="Arial Unicode" w:eastAsia="Times New Roman" w:hAnsi="Arial Unicode" w:cs="Times New Roman"/>
          <w:sz w:val="21"/>
          <w:szCs w:val="21"/>
        </w:rPr>
        <w:t>առ</w:t>
      </w:r>
      <w:proofErr w:type="spellEnd"/>
      <w:proofErr w:type="gram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այն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,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որ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նա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________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տարվա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ընթացքում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</w:t>
      </w:r>
      <w:proofErr w:type="spellStart"/>
      <w:r w:rsidRPr="00B86788">
        <w:rPr>
          <w:rFonts w:ascii="Arial Unicode" w:eastAsia="Times New Roman" w:hAnsi="Arial Unicode" w:cs="Times New Roman"/>
          <w:sz w:val="21"/>
          <w:szCs w:val="21"/>
        </w:rPr>
        <w:t>համարվել</w:t>
      </w:r>
      <w:proofErr w:type="spellEnd"/>
      <w:r w:rsidRPr="00B86788">
        <w:rPr>
          <w:rFonts w:ascii="Arial Unicode" w:eastAsia="Times New Roman" w:hAnsi="Arial Unicode" w:cs="Times New Roman"/>
          <w:sz w:val="21"/>
          <w:szCs w:val="21"/>
        </w:rPr>
        <w:t xml:space="preserve"> է</w:t>
      </w:r>
    </w:p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Arial Unicode" w:eastAsia="Times New Roman" w:hAnsi="Arial Unicode" w:cs="Times New Roman"/>
          <w:sz w:val="21"/>
          <w:szCs w:val="21"/>
        </w:rPr>
        <w:t>___________________________________________________________________________________</w:t>
      </w:r>
    </w:p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15"/>
          <w:szCs w:val="15"/>
        </w:rPr>
        <w:t> </w:t>
      </w:r>
      <w:r w:rsidRPr="00B86788">
        <w:rPr>
          <w:rFonts w:ascii="Arial Unicode" w:eastAsia="Times New Roman" w:hAnsi="Arial Unicode" w:cs="Arial Unicode"/>
          <w:sz w:val="15"/>
          <w:szCs w:val="15"/>
        </w:rPr>
        <w:t>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ուսումնական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հաստատության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անվանումը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r w:rsidRPr="00B86788">
        <w:rPr>
          <w:rFonts w:ascii="Arial Unicode" w:eastAsia="Times New Roman" w:hAnsi="Arial Unicode" w:cs="Arial Unicode"/>
          <w:sz w:val="15"/>
          <w:szCs w:val="15"/>
        </w:rPr>
        <w:t>ՀՎՀՀ</w:t>
      </w:r>
      <w:r w:rsidRPr="00B86788">
        <w:rPr>
          <w:rFonts w:ascii="Arial Unicode" w:eastAsia="Times New Roman" w:hAnsi="Arial Unicode" w:cs="Times New Roman"/>
          <w:sz w:val="15"/>
          <w:szCs w:val="15"/>
        </w:rPr>
        <w:t>-</w:t>
      </w:r>
      <w:r w:rsidRPr="00B86788">
        <w:rPr>
          <w:rFonts w:ascii="Arial Unicode" w:eastAsia="Times New Roman" w:hAnsi="Arial Unicode" w:cs="Arial Unicode"/>
          <w:sz w:val="15"/>
          <w:szCs w:val="15"/>
        </w:rPr>
        <w:t>ն</w:t>
      </w:r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մասնագիտությունը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կրթական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86788">
        <w:rPr>
          <w:rFonts w:ascii="Arial Unicode" w:eastAsia="Times New Roman" w:hAnsi="Arial Unicode" w:cs="Arial Unicode"/>
          <w:sz w:val="15"/>
          <w:szCs w:val="15"/>
        </w:rPr>
        <w:t>աստիճանը</w:t>
      </w:r>
      <w:proofErr w:type="spellEnd"/>
      <w:r w:rsidRPr="00B86788">
        <w:rPr>
          <w:rFonts w:ascii="Arial Unicode" w:eastAsia="Times New Roman" w:hAnsi="Arial Unicode" w:cs="Times New Roman"/>
          <w:sz w:val="15"/>
          <w:szCs w:val="15"/>
        </w:rPr>
        <w:t></w:t>
      </w:r>
    </w:p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6189"/>
      </w:tblGrid>
      <w:tr w:rsidR="00FC0A17" w:rsidRPr="00B86788" w:rsidTr="00387E55">
        <w:trPr>
          <w:tblCellSpacing w:w="7" w:type="dxa"/>
        </w:trPr>
        <w:tc>
          <w:tcPr>
            <w:tcW w:w="0" w:type="auto"/>
            <w:hideMark/>
          </w:tcPr>
          <w:p w:rsidR="00FC0A17" w:rsidRPr="00B86788" w:rsidRDefault="00FC0A17" w:rsidP="00387E5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ուսանող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և ______________-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ին</w:t>
            </w:r>
            <w:proofErr w:type="spellEnd"/>
          </w:p>
          <w:p w:rsidR="00FC0A17" w:rsidRPr="00B86788" w:rsidRDefault="00FC0A17" w:rsidP="00387E5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ամսաթիվը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ամիսը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տարին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hideMark/>
          </w:tcPr>
          <w:p w:rsidR="00FC0A17" w:rsidRPr="00B86788" w:rsidRDefault="00FC0A17" w:rsidP="00387E5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proofErr w:type="gram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հաջողությամբ</w:t>
            </w:r>
            <w:proofErr w:type="spellEnd"/>
            <w:proofErr w:type="gram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հանձնել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անհրաժեշտ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բոլոր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քննությունները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։</w:t>
            </w:r>
          </w:p>
        </w:tc>
      </w:tr>
    </w:tbl>
    <w:p w:rsidR="00FC0A17" w:rsidRPr="00B86788" w:rsidRDefault="00FC0A17" w:rsidP="00FC0A1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</w:rPr>
      </w:pPr>
      <w:r w:rsidRPr="00B86788">
        <w:rPr>
          <w:rFonts w:ascii="Calibri" w:eastAsia="Times New Roman" w:hAnsi="Calibri" w:cs="Calibri"/>
          <w:sz w:val="21"/>
          <w:szCs w:val="21"/>
        </w:rPr>
        <w:t> </w:t>
      </w:r>
    </w:p>
    <w:tbl>
      <w:tblPr>
        <w:tblW w:w="975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14"/>
        <w:gridCol w:w="4679"/>
      </w:tblGrid>
      <w:tr w:rsidR="00FC0A17" w:rsidRPr="00B86788" w:rsidTr="00387E55">
        <w:trPr>
          <w:tblCellSpacing w:w="7" w:type="dxa"/>
        </w:trPr>
        <w:tc>
          <w:tcPr>
            <w:tcW w:w="0" w:type="auto"/>
            <w:gridSpan w:val="2"/>
            <w:hideMark/>
          </w:tcPr>
          <w:p w:rsidR="00FC0A17" w:rsidRPr="00B86788" w:rsidRDefault="00FC0A17" w:rsidP="00387E5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Ուսանողի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տարեկան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ուսման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վարձավճարի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(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ուսման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վարձի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)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չափը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կազմում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է</w:t>
            </w:r>
          </w:p>
        </w:tc>
        <w:tc>
          <w:tcPr>
            <w:tcW w:w="0" w:type="auto"/>
            <w:vAlign w:val="center"/>
            <w:hideMark/>
          </w:tcPr>
          <w:p w:rsidR="00FC0A17" w:rsidRPr="00B86788" w:rsidRDefault="00FC0A17" w:rsidP="00387E5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______________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դրամ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:</w:t>
            </w:r>
          </w:p>
          <w:p w:rsidR="00FC0A17" w:rsidRPr="00B86788" w:rsidRDefault="00FC0A17" w:rsidP="00387E5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6788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B86788">
              <w:rPr>
                <w:rFonts w:ascii="Arial Unicode" w:eastAsia="Times New Roman" w:hAnsi="Arial Unicode" w:cs="Arial Unicode"/>
                <w:sz w:val="15"/>
                <w:szCs w:val="15"/>
              </w:rPr>
              <w:t>ուսման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Arial Unicode"/>
                <w:sz w:val="15"/>
                <w:szCs w:val="15"/>
              </w:rPr>
              <w:t>վարձի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Arial Unicode"/>
                <w:sz w:val="15"/>
                <w:szCs w:val="15"/>
              </w:rPr>
              <w:t>չափը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</w:tr>
      <w:tr w:rsidR="00FC0A17" w:rsidRPr="00B86788" w:rsidTr="00387E55">
        <w:trPr>
          <w:tblCellSpacing w:w="7" w:type="dxa"/>
        </w:trPr>
        <w:tc>
          <w:tcPr>
            <w:tcW w:w="0" w:type="auto"/>
            <w:hideMark/>
          </w:tcPr>
          <w:p w:rsidR="00FC0A17" w:rsidRPr="00B86788" w:rsidRDefault="00FC0A17" w:rsidP="00387E5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678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___ ______________ 20 </w:t>
            </w:r>
            <w:r w:rsidRPr="00B86788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B86788">
              <w:rPr>
                <w:rFonts w:ascii="Arial Unicode" w:eastAsia="Times New Roman" w:hAnsi="Arial Unicode" w:cs="Arial Unicode"/>
                <w:sz w:val="21"/>
                <w:szCs w:val="21"/>
              </w:rPr>
              <w:t>թ</w:t>
            </w:r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A17" w:rsidRPr="00B86788" w:rsidRDefault="00FC0A17" w:rsidP="00387E5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________________________________________</w:t>
            </w:r>
          </w:p>
          <w:p w:rsidR="00FC0A17" w:rsidRPr="00B86788" w:rsidRDefault="00FC0A17" w:rsidP="00387E5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(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ռեկտորի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անունը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ազգանունը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ստորագրություն</w:t>
            </w:r>
            <w:proofErr w:type="spellEnd"/>
            <w:r w:rsidRPr="00B86788">
              <w:rPr>
                <w:rFonts w:ascii="Arial Unicode" w:eastAsia="Times New Roman" w:hAnsi="Arial Unicode" w:cs="Times New Roman"/>
                <w:sz w:val="15"/>
                <w:szCs w:val="15"/>
              </w:rPr>
              <w:t>)</w:t>
            </w:r>
          </w:p>
        </w:tc>
      </w:tr>
    </w:tbl>
    <w:p w:rsidR="00BA2A11" w:rsidRDefault="00BA2A11">
      <w:bookmarkStart w:id="0" w:name="_GoBack"/>
      <w:bookmarkEnd w:id="0"/>
    </w:p>
    <w:sectPr w:rsidR="00BA2A11" w:rsidSect="00FC0A17">
      <w:pgSz w:w="12240" w:h="15840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E29E3"/>
    <w:multiLevelType w:val="hybridMultilevel"/>
    <w:tmpl w:val="63D4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94"/>
    <w:rsid w:val="00BA2A11"/>
    <w:rsid w:val="00CC2894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CAEFD-5D29-42B1-A430-E99BA986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17"/>
    <w:pPr>
      <w:ind w:left="720"/>
      <w:contextualSpacing/>
    </w:pPr>
  </w:style>
  <w:style w:type="table" w:styleId="TableGrid">
    <w:name w:val="Table Grid"/>
    <w:basedOn w:val="TableNormal"/>
    <w:uiPriority w:val="39"/>
    <w:rsid w:val="00FC0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Mishel Makvetsyan</dc:creator>
  <cp:keywords/>
  <dc:description/>
  <cp:lastModifiedBy>Mishel Makvetsyan</cp:lastModifiedBy>
  <cp:revision>2</cp:revision>
  <dcterms:created xsi:type="dcterms:W3CDTF">2021-03-12T08:31:00Z</dcterms:created>
  <dcterms:modified xsi:type="dcterms:W3CDTF">2021-03-12T08:32:00Z</dcterms:modified>
</cp:coreProperties>
</file>