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FE" w:rsidRDefault="00F439FE" w:rsidP="00A70B2B">
      <w:pPr>
        <w:pStyle w:val="BodyText"/>
        <w:ind w:left="118"/>
      </w:pPr>
      <w:bookmarkStart w:id="0" w:name="_GoBack"/>
      <w:bookmarkEnd w:id="0"/>
    </w:p>
    <w:p w:rsidR="00F439FE" w:rsidRDefault="00F439FE">
      <w:pPr>
        <w:pStyle w:val="BodyText"/>
        <w:spacing w:before="11"/>
        <w:rPr>
          <w:sz w:val="17"/>
        </w:rPr>
      </w:pPr>
    </w:p>
    <w:p w:rsidR="00F439FE" w:rsidRDefault="00F72FEC">
      <w:pPr>
        <w:pStyle w:val="Heading1"/>
        <w:spacing w:before="57"/>
        <w:ind w:firstLine="0"/>
      </w:pPr>
      <w:r>
        <w:t xml:space="preserve"> Publication Ethics and Publication Malpractice Statement</w:t>
      </w:r>
    </w:p>
    <w:p w:rsidR="00F439FE" w:rsidRDefault="00F72FEC">
      <w:pPr>
        <w:pStyle w:val="BodyText"/>
        <w:spacing w:line="552" w:lineRule="auto"/>
        <w:ind w:left="118" w:right="866"/>
      </w:pPr>
      <w:bookmarkStart w:id="1" w:name="(based_on_Elsevier_recommendations_and_C"/>
      <w:bookmarkEnd w:id="1"/>
      <w:r>
        <w:t xml:space="preserve">(based on Elsevier recommendations and </w:t>
      </w:r>
      <w:hyperlink r:id="rId7">
        <w:r>
          <w:rPr>
            <w:color w:val="0000FF"/>
          </w:rPr>
          <w:t>COPE</w:t>
        </w:r>
        <w:r>
          <w:t>'</w:t>
        </w:r>
      </w:hyperlink>
      <w:r>
        <w:t>s Best Practice Guidelines for Journal Editors)</w:t>
      </w:r>
      <w:bookmarkStart w:id="2" w:name="Ethical_guidelines_for_journal_publicati"/>
      <w:bookmarkEnd w:id="2"/>
      <w:r>
        <w:t xml:space="preserve"> </w:t>
      </w:r>
      <w:r>
        <w:rPr>
          <w:color w:val="243F60"/>
        </w:rPr>
        <w:t>Ethical guidelines for journal publication</w:t>
      </w:r>
    </w:p>
    <w:p w:rsidR="00F439FE" w:rsidRDefault="00F72FEC">
      <w:pPr>
        <w:pStyle w:val="BodyText"/>
        <w:spacing w:line="199" w:lineRule="exact"/>
        <w:ind w:left="118"/>
      </w:pPr>
      <w:r>
        <w:rPr>
          <w:b/>
        </w:rPr>
        <w:t xml:space="preserve">Publisher </w:t>
      </w:r>
      <w:r>
        <w:t>is committed to ensuring ethics in publication and quality of articles.</w:t>
      </w:r>
    </w:p>
    <w:p w:rsidR="00F439FE" w:rsidRDefault="00F72FEC">
      <w:pPr>
        <w:pStyle w:val="BodyText"/>
        <w:ind w:left="118" w:right="277"/>
      </w:pPr>
      <w:r>
        <w:t>Conformance to standards of ethical behavior is therefore expected of all parties involved: Authors, Editors, Reviewers, and the Publisher.</w:t>
      </w:r>
    </w:p>
    <w:p w:rsidR="00F439FE" w:rsidRDefault="00F439FE">
      <w:pPr>
        <w:pStyle w:val="BodyText"/>
        <w:spacing w:before="1"/>
      </w:pPr>
    </w:p>
    <w:p w:rsidR="00F439FE" w:rsidRDefault="00F72FEC">
      <w:pPr>
        <w:pStyle w:val="BodyText"/>
        <w:ind w:left="118"/>
      </w:pPr>
      <w:r>
        <w:t>In particular,</w:t>
      </w:r>
    </w:p>
    <w:p w:rsidR="00F439FE" w:rsidRDefault="00F72FEC">
      <w:pPr>
        <w:pStyle w:val="BodyText"/>
        <w:ind w:left="118" w:right="108"/>
      </w:pPr>
      <w:r>
        <w:rPr>
          <w:b/>
        </w:rPr>
        <w:t xml:space="preserve">Authors: </w:t>
      </w:r>
      <w:r>
        <w:t>Authors should present an objective discussion of the significance of research work as well as sufficient detail and references to permit others to replicate the experiments. Fraudulent or know- ingly inaccurate statements constitute unethical behavior and are unacceptable. Review articles should also be objective, comprehensive, and accurate accounts of the state of the art. The authors should ensure that their work is entirely original works, and if the work and/or words of others have been used, this has been appropriately acknowledged. Plagiarism in all its forms constitutes unethical publishing behavior and is unacceptable. Submitting the same manuscript to more than one journal concurrently constitutes unethical publishing behavior and is unacceptable. Authors should not sub- mit articles describing essentially the same research to more than one journal. The corresponding author should ensure that there is a full consensus of all co-authors in approving the final version of the paper and its submission for publication.</w:t>
      </w:r>
    </w:p>
    <w:p w:rsidR="00F439FE" w:rsidRDefault="00F439FE">
      <w:pPr>
        <w:pStyle w:val="BodyText"/>
        <w:rPr>
          <w:sz w:val="23"/>
        </w:rPr>
      </w:pPr>
    </w:p>
    <w:p w:rsidR="00F439FE" w:rsidRDefault="00F72FEC">
      <w:pPr>
        <w:pStyle w:val="BodyText"/>
        <w:ind w:left="118" w:right="169"/>
      </w:pPr>
      <w:r>
        <w:rPr>
          <w:b/>
        </w:rPr>
        <w:t xml:space="preserve">Editors: </w:t>
      </w:r>
      <w:r>
        <w:t>Editors should evaluate manuscripts exclusively on the basis of their academic merit. An edi- tor must not use unpublished information in the editor's own research without the express written consent of the author. Editors should take reasonable responsive measures when ethical complaints have been presented concerning a submitted manuscript or published paper.</w:t>
      </w:r>
    </w:p>
    <w:p w:rsidR="00F439FE" w:rsidRDefault="00F439FE">
      <w:pPr>
        <w:pStyle w:val="BodyText"/>
        <w:rPr>
          <w:sz w:val="23"/>
        </w:rPr>
      </w:pPr>
    </w:p>
    <w:p w:rsidR="00F439FE" w:rsidRDefault="00F72FEC">
      <w:pPr>
        <w:pStyle w:val="BodyText"/>
        <w:ind w:left="117" w:right="125"/>
      </w:pPr>
      <w:r>
        <w:rPr>
          <w:b/>
        </w:rPr>
        <w:t xml:space="preserve">Reviewers: </w:t>
      </w:r>
      <w:r>
        <w:t>Any manuscripts received for review must be treated as confidential documents. Privi- leged information or ideas obtained through peer review must be kept confidential and not used for personal advantage. Reviews should be conducted objectively, and observations should be formu- lated clearly with supporting arguments, so that authors can use them for improving the paper. Any selected referee who feels unqualified to review the research reported in a manuscript or knows that its prompt review will be impossible should notify the editor and excuse himself from the review pro- cess. Reviewers should not consider manuscripts in which they have conflicts of interest resulting from competitive, collaborative, or other relationships or connections with any of the authors, com- panies, or institutions connected to the papers</w:t>
      </w:r>
    </w:p>
    <w:p w:rsidR="00F439FE" w:rsidRDefault="00F439FE">
      <w:pPr>
        <w:pStyle w:val="BodyText"/>
        <w:rPr>
          <w:sz w:val="23"/>
        </w:rPr>
      </w:pPr>
    </w:p>
    <w:p w:rsidR="00F439FE" w:rsidRDefault="00F72FEC">
      <w:pPr>
        <w:pStyle w:val="Heading1"/>
        <w:ind w:left="117" w:firstLine="0"/>
      </w:pPr>
      <w:bookmarkStart w:id="3" w:name="Article_withdraw_policy_It_is_a_general_"/>
      <w:bookmarkEnd w:id="3"/>
      <w:r>
        <w:t>Article withdraw policy</w:t>
      </w:r>
    </w:p>
    <w:p w:rsidR="00F439FE" w:rsidRDefault="00F72FEC">
      <w:pPr>
        <w:pStyle w:val="BodyText"/>
        <w:spacing w:line="242" w:lineRule="auto"/>
        <w:ind w:left="117" w:right="111"/>
      </w:pPr>
      <w:r>
        <w:t>It is a general principle of scholarly communication that the editor/guest editor of a learned jour- nal/series is solely and independently responsible for deciding which articles submitted to the journal shall be published. In making this decision the editor/guest editor is guided by policies of the jour- nal's editorial board and constrained by such legal requirements in force regarding libel, copyright infringement and plagiarism.  An outcome of this principle is the importance of the scholarly archive as a permanent, historic record of the transactions of scholarship. Articles that have been published shall remain extant, exact and unaltered as far as is possible. However, very occasionally circum- stances may arise where an article is published that must later be retracted or even removed. Such actions must not be undertaken lightly and can only occur under exceptional circumstances, such as:</w:t>
      </w:r>
    </w:p>
    <w:p w:rsidR="00F439FE" w:rsidRDefault="00F439FE">
      <w:pPr>
        <w:pStyle w:val="BodyText"/>
        <w:spacing w:before="7"/>
      </w:pPr>
    </w:p>
    <w:p w:rsidR="00F439FE" w:rsidRDefault="00F72FEC">
      <w:pPr>
        <w:pStyle w:val="Heading1"/>
        <w:numPr>
          <w:ilvl w:val="0"/>
          <w:numId w:val="1"/>
        </w:numPr>
        <w:tabs>
          <w:tab w:val="left" w:pos="1197"/>
          <w:tab w:val="left" w:pos="1198"/>
        </w:tabs>
        <w:ind w:left="1197"/>
      </w:pPr>
      <w:r>
        <w:t>Article</w:t>
      </w:r>
      <w:r>
        <w:rPr>
          <w:spacing w:val="-8"/>
        </w:rPr>
        <w:t xml:space="preserve"> </w:t>
      </w:r>
      <w:r>
        <w:t>Withdrawal:</w:t>
      </w:r>
    </w:p>
    <w:p w:rsidR="00F439FE" w:rsidRDefault="00F72FEC">
      <w:pPr>
        <w:pStyle w:val="BodyText"/>
        <w:ind w:left="1197"/>
      </w:pPr>
      <w:r>
        <w:t>Only used for Articles in Press which represent early versions of articles and sometimes</w:t>
      </w:r>
    </w:p>
    <w:p w:rsidR="00F439FE" w:rsidRDefault="00F439FE">
      <w:pPr>
        <w:sectPr w:rsidR="00F439FE">
          <w:headerReference w:type="default" r:id="rId8"/>
          <w:footerReference w:type="default" r:id="rId9"/>
          <w:pgSz w:w="11910" w:h="16850"/>
          <w:pgMar w:top="1500" w:right="1300" w:bottom="840" w:left="1300" w:header="754" w:footer="586" w:gutter="0"/>
          <w:cols w:space="720"/>
        </w:sectPr>
      </w:pPr>
    </w:p>
    <w:p w:rsidR="00F439FE" w:rsidRDefault="00F439FE">
      <w:pPr>
        <w:pStyle w:val="BodyText"/>
        <w:spacing w:before="11"/>
        <w:rPr>
          <w:sz w:val="17"/>
        </w:rPr>
      </w:pPr>
    </w:p>
    <w:p w:rsidR="00F439FE" w:rsidRDefault="00F72FEC">
      <w:pPr>
        <w:pStyle w:val="BodyText"/>
        <w:spacing w:before="57"/>
        <w:ind w:left="1198" w:right="145"/>
      </w:pPr>
      <w:r>
        <w:t>contain errors, or may have been accidentally submitted twice. Occasionally, but less fre- quently, the articles may represent infringements of professional ethical codes, such as multiple submission, bogus claims of authorship, plagiarism, fraudulent use of data or the like.</w:t>
      </w:r>
    </w:p>
    <w:p w:rsidR="00F439FE" w:rsidRDefault="00F72FEC">
      <w:pPr>
        <w:pStyle w:val="Heading1"/>
        <w:numPr>
          <w:ilvl w:val="0"/>
          <w:numId w:val="1"/>
        </w:numPr>
        <w:tabs>
          <w:tab w:val="left" w:pos="1198"/>
          <w:tab w:val="left" w:pos="1199"/>
        </w:tabs>
        <w:spacing w:line="268" w:lineRule="exact"/>
      </w:pPr>
      <w:r>
        <w:t>Article</w:t>
      </w:r>
      <w:r>
        <w:rPr>
          <w:spacing w:val="-12"/>
        </w:rPr>
        <w:t xml:space="preserve"> </w:t>
      </w:r>
      <w:r>
        <w:t>Retraction:</w:t>
      </w:r>
    </w:p>
    <w:p w:rsidR="00F439FE" w:rsidRDefault="00F72FEC">
      <w:pPr>
        <w:pStyle w:val="BodyText"/>
        <w:ind w:left="1198" w:right="122"/>
        <w:jc w:val="both"/>
      </w:pPr>
      <w:r>
        <w:t>Infringements of professional ethical codes, such as multiple submission, bogus claims of authorship, plagiarism, fraudulent use of data or the like. Occasionally a retraction will be used to correct errors in submission or publication.</w:t>
      </w:r>
    </w:p>
    <w:p w:rsidR="00F439FE" w:rsidRDefault="00F72FEC">
      <w:pPr>
        <w:pStyle w:val="Heading1"/>
        <w:numPr>
          <w:ilvl w:val="0"/>
          <w:numId w:val="1"/>
        </w:numPr>
        <w:tabs>
          <w:tab w:val="left" w:pos="1197"/>
          <w:tab w:val="left" w:pos="1198"/>
        </w:tabs>
        <w:spacing w:before="1"/>
        <w:ind w:left="1197" w:hanging="359"/>
      </w:pPr>
      <w:r>
        <w:t>Article</w:t>
      </w:r>
      <w:r>
        <w:rPr>
          <w:spacing w:val="-5"/>
        </w:rPr>
        <w:t xml:space="preserve"> </w:t>
      </w:r>
      <w:r>
        <w:t>Removal:</w:t>
      </w:r>
    </w:p>
    <w:p w:rsidR="00F439FE" w:rsidRDefault="00F72FEC">
      <w:pPr>
        <w:pStyle w:val="BodyText"/>
        <w:ind w:left="1197"/>
      </w:pPr>
      <w:r>
        <w:t>Legal limitations upon the publisher, copyright holder or author(s).</w:t>
      </w:r>
    </w:p>
    <w:p w:rsidR="00F439FE" w:rsidRDefault="00F72FEC">
      <w:pPr>
        <w:pStyle w:val="Heading1"/>
        <w:numPr>
          <w:ilvl w:val="0"/>
          <w:numId w:val="1"/>
        </w:numPr>
        <w:tabs>
          <w:tab w:val="left" w:pos="1197"/>
          <w:tab w:val="left" w:pos="1198"/>
        </w:tabs>
        <w:ind w:left="1197" w:hanging="359"/>
      </w:pPr>
      <w:r>
        <w:t>Article</w:t>
      </w:r>
      <w:r>
        <w:rPr>
          <w:spacing w:val="-10"/>
        </w:rPr>
        <w:t xml:space="preserve"> </w:t>
      </w:r>
      <w:r>
        <w:t>Replacement:</w:t>
      </w:r>
    </w:p>
    <w:p w:rsidR="00F439FE" w:rsidRDefault="00F72FEC">
      <w:pPr>
        <w:pStyle w:val="BodyText"/>
        <w:ind w:left="1197" w:right="218"/>
      </w:pPr>
      <w:r>
        <w:t>Identification of false or inaccurate data that, if acted upon, would pose a serious health risk.</w:t>
      </w:r>
    </w:p>
    <w:sectPr w:rsidR="00F439FE">
      <w:pgSz w:w="11910" w:h="16850"/>
      <w:pgMar w:top="1500" w:right="1300" w:bottom="840" w:left="1300" w:header="754"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FD" w:rsidRDefault="00F72FEC">
      <w:r>
        <w:separator/>
      </w:r>
    </w:p>
  </w:endnote>
  <w:endnote w:type="continuationSeparator" w:id="0">
    <w:p w:rsidR="00AC77FD" w:rsidRDefault="00F7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FE" w:rsidRDefault="00785970">
    <w:pPr>
      <w:pStyle w:val="BodyText"/>
      <w:spacing w:line="14" w:lineRule="auto"/>
      <w:rPr>
        <w:sz w:val="14"/>
      </w:rPr>
    </w:pPr>
    <w:r>
      <w:rPr>
        <w:noProof/>
        <w:lang w:val="hy-AM" w:eastAsia="hy-AM"/>
      </w:rPr>
      <mc:AlternateContent>
        <mc:Choice Requires="wps">
          <w:drawing>
            <wp:anchor distT="0" distB="0" distL="114300" distR="114300" simplePos="0" relativeHeight="251658240" behindDoc="1" locked="0" layoutInCell="1" allowOverlap="1">
              <wp:simplePos x="0" y="0"/>
              <wp:positionH relativeFrom="page">
                <wp:posOffset>6235700</wp:posOffset>
              </wp:positionH>
              <wp:positionV relativeFrom="page">
                <wp:posOffset>10144125</wp:posOffset>
              </wp:positionV>
              <wp:extent cx="452120" cy="1498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9FE" w:rsidRDefault="00F72FEC">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rsidR="00785970">
                            <w:rPr>
                              <w:rFonts w:ascii="Verdana"/>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pt;margin-top:798.75pt;width:35.6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fE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ZBGFEdyUcBWSJF66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" filled="f" stroked="f">
              <v:textbox inset="0,0,0,0">
                <w:txbxContent>
                  <w:p w:rsidR="00F439FE" w:rsidRDefault="00F72FEC">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rsidR="00785970">
                      <w:rPr>
                        <w:rFonts w:ascii="Verdana"/>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FD" w:rsidRDefault="00F72FEC">
      <w:r>
        <w:separator/>
      </w:r>
    </w:p>
  </w:footnote>
  <w:footnote w:type="continuationSeparator" w:id="0">
    <w:p w:rsidR="00AC77FD" w:rsidRDefault="00F7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FE" w:rsidRDefault="00F72FEC">
    <w:pPr>
      <w:pStyle w:val="BodyText"/>
      <w:spacing w:line="14" w:lineRule="auto"/>
      <w:rPr>
        <w:sz w:val="20"/>
      </w:rPr>
    </w:pPr>
    <w:r>
      <w:rPr>
        <w:noProof/>
        <w:lang w:val="hy-AM" w:eastAsia="hy-AM"/>
      </w:rPr>
      <w:drawing>
        <wp:anchor distT="0" distB="0" distL="0" distR="0" simplePos="0" relativeHeight="251657216" behindDoc="1" locked="0" layoutInCell="1" allowOverlap="1">
          <wp:simplePos x="0" y="0"/>
          <wp:positionH relativeFrom="page">
            <wp:posOffset>900430</wp:posOffset>
          </wp:positionH>
          <wp:positionV relativeFrom="page">
            <wp:posOffset>479062</wp:posOffset>
          </wp:positionV>
          <wp:extent cx="1791334" cy="48561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91334" cy="48561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F365A"/>
    <w:multiLevelType w:val="hybridMultilevel"/>
    <w:tmpl w:val="B17A1F38"/>
    <w:lvl w:ilvl="0" w:tplc="21786C96">
      <w:numFmt w:val="bullet"/>
      <w:lvlText w:val="-"/>
      <w:lvlJc w:val="left"/>
      <w:pPr>
        <w:ind w:left="1198" w:hanging="360"/>
      </w:pPr>
      <w:rPr>
        <w:rFonts w:ascii="Bookman Old Style" w:eastAsia="Bookman Old Style" w:hAnsi="Bookman Old Style" w:cs="Bookman Old Style" w:hint="default"/>
        <w:w w:val="100"/>
        <w:sz w:val="22"/>
        <w:szCs w:val="22"/>
      </w:rPr>
    </w:lvl>
    <w:lvl w:ilvl="1" w:tplc="547EBDAE">
      <w:numFmt w:val="bullet"/>
      <w:lvlText w:val="•"/>
      <w:lvlJc w:val="left"/>
      <w:pPr>
        <w:ind w:left="2010" w:hanging="360"/>
      </w:pPr>
      <w:rPr>
        <w:rFonts w:hint="default"/>
      </w:rPr>
    </w:lvl>
    <w:lvl w:ilvl="2" w:tplc="3C643CEC">
      <w:numFmt w:val="bullet"/>
      <w:lvlText w:val="•"/>
      <w:lvlJc w:val="left"/>
      <w:pPr>
        <w:ind w:left="2821" w:hanging="360"/>
      </w:pPr>
      <w:rPr>
        <w:rFonts w:hint="default"/>
      </w:rPr>
    </w:lvl>
    <w:lvl w:ilvl="3" w:tplc="BB7638DC">
      <w:numFmt w:val="bullet"/>
      <w:lvlText w:val="•"/>
      <w:lvlJc w:val="left"/>
      <w:pPr>
        <w:ind w:left="3631" w:hanging="360"/>
      </w:pPr>
      <w:rPr>
        <w:rFonts w:hint="default"/>
      </w:rPr>
    </w:lvl>
    <w:lvl w:ilvl="4" w:tplc="AC024BEA">
      <w:numFmt w:val="bullet"/>
      <w:lvlText w:val="•"/>
      <w:lvlJc w:val="left"/>
      <w:pPr>
        <w:ind w:left="4442" w:hanging="360"/>
      </w:pPr>
      <w:rPr>
        <w:rFonts w:hint="default"/>
      </w:rPr>
    </w:lvl>
    <w:lvl w:ilvl="5" w:tplc="A9BE5A5A">
      <w:numFmt w:val="bullet"/>
      <w:lvlText w:val="•"/>
      <w:lvlJc w:val="left"/>
      <w:pPr>
        <w:ind w:left="5253" w:hanging="360"/>
      </w:pPr>
      <w:rPr>
        <w:rFonts w:hint="default"/>
      </w:rPr>
    </w:lvl>
    <w:lvl w:ilvl="6" w:tplc="A9549920">
      <w:numFmt w:val="bullet"/>
      <w:lvlText w:val="•"/>
      <w:lvlJc w:val="left"/>
      <w:pPr>
        <w:ind w:left="6063" w:hanging="360"/>
      </w:pPr>
      <w:rPr>
        <w:rFonts w:hint="default"/>
      </w:rPr>
    </w:lvl>
    <w:lvl w:ilvl="7" w:tplc="CE9A9E28">
      <w:numFmt w:val="bullet"/>
      <w:lvlText w:val="•"/>
      <w:lvlJc w:val="left"/>
      <w:pPr>
        <w:ind w:left="6874" w:hanging="360"/>
      </w:pPr>
      <w:rPr>
        <w:rFonts w:hint="default"/>
      </w:rPr>
    </w:lvl>
    <w:lvl w:ilvl="8" w:tplc="EDAA3A4A">
      <w:numFmt w:val="bullet"/>
      <w:lvlText w:val="•"/>
      <w:lvlJc w:val="left"/>
      <w:pPr>
        <w:ind w:left="7685" w:hanging="360"/>
      </w:pPr>
      <w:rPr>
        <w:rFonts w:hint="default"/>
      </w:rPr>
    </w:lvl>
  </w:abstractNum>
  <w:abstractNum w:abstractNumId="1">
    <w:nsid w:val="3BC82F8A"/>
    <w:multiLevelType w:val="hybridMultilevel"/>
    <w:tmpl w:val="013478EC"/>
    <w:lvl w:ilvl="0" w:tplc="8FC4E6F6">
      <w:start w:val="1"/>
      <w:numFmt w:val="decimal"/>
      <w:lvlText w:val="%1."/>
      <w:lvlJc w:val="left"/>
      <w:pPr>
        <w:ind w:left="836" w:hanging="361"/>
        <w:jc w:val="left"/>
      </w:pPr>
      <w:rPr>
        <w:rFonts w:ascii="Calibri" w:eastAsia="Calibri" w:hAnsi="Calibri" w:cs="Calibri" w:hint="default"/>
        <w:w w:val="100"/>
        <w:sz w:val="22"/>
        <w:szCs w:val="22"/>
      </w:rPr>
    </w:lvl>
    <w:lvl w:ilvl="1" w:tplc="2D428AC6">
      <w:numFmt w:val="bullet"/>
      <w:lvlText w:val="-"/>
      <w:lvlJc w:val="left"/>
      <w:pPr>
        <w:ind w:left="956" w:hanging="118"/>
      </w:pPr>
      <w:rPr>
        <w:rFonts w:ascii="Calibri" w:eastAsia="Calibri" w:hAnsi="Calibri" w:cs="Calibri" w:hint="default"/>
        <w:w w:val="100"/>
        <w:sz w:val="22"/>
        <w:szCs w:val="22"/>
      </w:rPr>
    </w:lvl>
    <w:lvl w:ilvl="2" w:tplc="74E4B546">
      <w:numFmt w:val="bullet"/>
      <w:lvlText w:val="•"/>
      <w:lvlJc w:val="left"/>
      <w:pPr>
        <w:ind w:left="1200" w:hanging="118"/>
      </w:pPr>
      <w:rPr>
        <w:rFonts w:hint="default"/>
      </w:rPr>
    </w:lvl>
    <w:lvl w:ilvl="3" w:tplc="BB42476E">
      <w:numFmt w:val="bullet"/>
      <w:lvlText w:val="•"/>
      <w:lvlJc w:val="left"/>
      <w:pPr>
        <w:ind w:left="2213" w:hanging="118"/>
      </w:pPr>
      <w:rPr>
        <w:rFonts w:hint="default"/>
      </w:rPr>
    </w:lvl>
    <w:lvl w:ilvl="4" w:tplc="AEE4FC70">
      <w:numFmt w:val="bullet"/>
      <w:lvlText w:val="•"/>
      <w:lvlJc w:val="left"/>
      <w:pPr>
        <w:ind w:left="3226" w:hanging="118"/>
      </w:pPr>
      <w:rPr>
        <w:rFonts w:hint="default"/>
      </w:rPr>
    </w:lvl>
    <w:lvl w:ilvl="5" w:tplc="022CC6FE">
      <w:numFmt w:val="bullet"/>
      <w:lvlText w:val="•"/>
      <w:lvlJc w:val="left"/>
      <w:pPr>
        <w:ind w:left="4239" w:hanging="118"/>
      </w:pPr>
      <w:rPr>
        <w:rFonts w:hint="default"/>
      </w:rPr>
    </w:lvl>
    <w:lvl w:ilvl="6" w:tplc="B20C2504">
      <w:numFmt w:val="bullet"/>
      <w:lvlText w:val="•"/>
      <w:lvlJc w:val="left"/>
      <w:pPr>
        <w:ind w:left="5253" w:hanging="118"/>
      </w:pPr>
      <w:rPr>
        <w:rFonts w:hint="default"/>
      </w:rPr>
    </w:lvl>
    <w:lvl w:ilvl="7" w:tplc="77068B5A">
      <w:numFmt w:val="bullet"/>
      <w:lvlText w:val="•"/>
      <w:lvlJc w:val="left"/>
      <w:pPr>
        <w:ind w:left="6266" w:hanging="118"/>
      </w:pPr>
      <w:rPr>
        <w:rFonts w:hint="default"/>
      </w:rPr>
    </w:lvl>
    <w:lvl w:ilvl="8" w:tplc="82823166">
      <w:numFmt w:val="bullet"/>
      <w:lvlText w:val="•"/>
      <w:lvlJc w:val="left"/>
      <w:pPr>
        <w:ind w:left="7279" w:hanging="118"/>
      </w:pPr>
      <w:rPr>
        <w:rFonts w:hint="default"/>
      </w:rPr>
    </w:lvl>
  </w:abstractNum>
  <w:abstractNum w:abstractNumId="2">
    <w:nsid w:val="44E43083"/>
    <w:multiLevelType w:val="hybridMultilevel"/>
    <w:tmpl w:val="B1B05478"/>
    <w:lvl w:ilvl="0" w:tplc="D812D2D4">
      <w:numFmt w:val="bullet"/>
      <w:lvlText w:val="-"/>
      <w:lvlJc w:val="left"/>
      <w:pPr>
        <w:ind w:left="1199" w:hanging="360"/>
      </w:pPr>
      <w:rPr>
        <w:rFonts w:ascii="Bookman Old Style" w:eastAsia="Bookman Old Style" w:hAnsi="Bookman Old Style" w:cs="Bookman Old Style" w:hint="default"/>
        <w:w w:val="100"/>
        <w:sz w:val="22"/>
        <w:szCs w:val="22"/>
      </w:rPr>
    </w:lvl>
    <w:lvl w:ilvl="1" w:tplc="9E76C440">
      <w:numFmt w:val="bullet"/>
      <w:lvlText w:val="•"/>
      <w:lvlJc w:val="left"/>
      <w:pPr>
        <w:ind w:left="2010" w:hanging="360"/>
      </w:pPr>
      <w:rPr>
        <w:rFonts w:hint="default"/>
      </w:rPr>
    </w:lvl>
    <w:lvl w:ilvl="2" w:tplc="6CEAA6EC">
      <w:numFmt w:val="bullet"/>
      <w:lvlText w:val="•"/>
      <w:lvlJc w:val="left"/>
      <w:pPr>
        <w:ind w:left="2821" w:hanging="360"/>
      </w:pPr>
      <w:rPr>
        <w:rFonts w:hint="default"/>
      </w:rPr>
    </w:lvl>
    <w:lvl w:ilvl="3" w:tplc="32AC3674">
      <w:numFmt w:val="bullet"/>
      <w:lvlText w:val="•"/>
      <w:lvlJc w:val="left"/>
      <w:pPr>
        <w:ind w:left="3631" w:hanging="360"/>
      </w:pPr>
      <w:rPr>
        <w:rFonts w:hint="default"/>
      </w:rPr>
    </w:lvl>
    <w:lvl w:ilvl="4" w:tplc="79EE0CB2">
      <w:numFmt w:val="bullet"/>
      <w:lvlText w:val="•"/>
      <w:lvlJc w:val="left"/>
      <w:pPr>
        <w:ind w:left="4442" w:hanging="360"/>
      </w:pPr>
      <w:rPr>
        <w:rFonts w:hint="default"/>
      </w:rPr>
    </w:lvl>
    <w:lvl w:ilvl="5" w:tplc="6CBAA670">
      <w:numFmt w:val="bullet"/>
      <w:lvlText w:val="•"/>
      <w:lvlJc w:val="left"/>
      <w:pPr>
        <w:ind w:left="5253" w:hanging="360"/>
      </w:pPr>
      <w:rPr>
        <w:rFonts w:hint="default"/>
      </w:rPr>
    </w:lvl>
    <w:lvl w:ilvl="6" w:tplc="809C653E">
      <w:numFmt w:val="bullet"/>
      <w:lvlText w:val="•"/>
      <w:lvlJc w:val="left"/>
      <w:pPr>
        <w:ind w:left="6063" w:hanging="360"/>
      </w:pPr>
      <w:rPr>
        <w:rFonts w:hint="default"/>
      </w:rPr>
    </w:lvl>
    <w:lvl w:ilvl="7" w:tplc="83C23EF4">
      <w:numFmt w:val="bullet"/>
      <w:lvlText w:val="•"/>
      <w:lvlJc w:val="left"/>
      <w:pPr>
        <w:ind w:left="6874" w:hanging="360"/>
      </w:pPr>
      <w:rPr>
        <w:rFonts w:hint="default"/>
      </w:rPr>
    </w:lvl>
    <w:lvl w:ilvl="8" w:tplc="79203338">
      <w:numFmt w:val="bullet"/>
      <w:lvlText w:val="•"/>
      <w:lvlJc w:val="left"/>
      <w:pPr>
        <w:ind w:left="768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141"/>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FE"/>
    <w:rsid w:val="00785970"/>
    <w:rsid w:val="00A70B2B"/>
    <w:rsid w:val="00AC77FD"/>
    <w:rsid w:val="00F439FE"/>
    <w:rsid w:val="00F72FE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7A213D-5320-460B-B766-20AD08D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8" w:hanging="360"/>
    </w:pPr>
  </w:style>
  <w:style w:type="paragraph" w:customStyle="1" w:styleId="TableParagraph">
    <w:name w:val="Table Paragraph"/>
    <w:basedOn w:val="Normal"/>
    <w:uiPriority w:val="1"/>
    <w:qFormat/>
    <w:pPr>
      <w:spacing w:line="268" w:lineRule="exact"/>
      <w:ind w:left="102"/>
    </w:pPr>
  </w:style>
  <w:style w:type="paragraph" w:styleId="Header">
    <w:name w:val="header"/>
    <w:basedOn w:val="Normal"/>
    <w:link w:val="HeaderChar"/>
    <w:uiPriority w:val="99"/>
    <w:unhideWhenUsed/>
    <w:rsid w:val="00A70B2B"/>
    <w:pPr>
      <w:tabs>
        <w:tab w:val="center" w:pos="4513"/>
        <w:tab w:val="right" w:pos="9026"/>
      </w:tabs>
    </w:pPr>
  </w:style>
  <w:style w:type="character" w:customStyle="1" w:styleId="HeaderChar">
    <w:name w:val="Header Char"/>
    <w:basedOn w:val="DefaultParagraphFont"/>
    <w:link w:val="Header"/>
    <w:uiPriority w:val="99"/>
    <w:rsid w:val="00A70B2B"/>
    <w:rPr>
      <w:rFonts w:ascii="Calibri" w:eastAsia="Calibri" w:hAnsi="Calibri" w:cs="Calibri"/>
    </w:rPr>
  </w:style>
  <w:style w:type="paragraph" w:styleId="Footer">
    <w:name w:val="footer"/>
    <w:basedOn w:val="Normal"/>
    <w:link w:val="FooterChar"/>
    <w:uiPriority w:val="99"/>
    <w:unhideWhenUsed/>
    <w:rsid w:val="00A70B2B"/>
    <w:pPr>
      <w:tabs>
        <w:tab w:val="center" w:pos="4513"/>
        <w:tab w:val="right" w:pos="9026"/>
      </w:tabs>
    </w:pPr>
  </w:style>
  <w:style w:type="character" w:customStyle="1" w:styleId="FooterChar">
    <w:name w:val="Footer Char"/>
    <w:basedOn w:val="DefaultParagraphFont"/>
    <w:link w:val="Footer"/>
    <w:uiPriority w:val="99"/>
    <w:rsid w:val="00A70B2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ethics.org/files/u2/New_Co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Scitec CH Brief mit Strich und Telefon-Nr</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Scitec CH Brief mit Strich und Telefon-Nr</dc:title>
  <dc:subject>Brief-Vorlagen.</dc:subject>
  <dc:creator>Andrey Lunev</dc:creator>
  <cp:lastModifiedBy>Narine Pirumyan</cp:lastModifiedBy>
  <cp:revision>2</cp:revision>
  <dcterms:created xsi:type="dcterms:W3CDTF">2019-06-11T12:14:00Z</dcterms:created>
  <dcterms:modified xsi:type="dcterms:W3CDTF">2019-06-11T12:14:00Z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Acrobat PDFMaker 19 for Word</vt:lpwstr>
  </property>
  <property fmtid="{D5CDD505-2E9C-101B-9397-08002B2CF9AE}" pid="4" name="LastSaved">
    <vt:filetime>2019-06-11T00:00:00Z</vt:filetime>
  </property>
</Properties>
</file>